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390A" w14:textId="77777777" w:rsidR="00B861B2" w:rsidRDefault="00C44CE5" w:rsidP="00D94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 nr 2</w:t>
      </w:r>
    </w:p>
    <w:p w14:paraId="71501177" w14:textId="77777777" w:rsidR="00B861B2" w:rsidRDefault="00B861B2" w:rsidP="00D94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Okręgowej Rady Adwokackiej w Warszawie</w:t>
      </w:r>
    </w:p>
    <w:p w14:paraId="27BB0475" w14:textId="77777777" w:rsidR="00B861B2" w:rsidRDefault="00B861B2" w:rsidP="00D94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21 września 2020 r. </w:t>
      </w:r>
    </w:p>
    <w:p w14:paraId="4CA6CAA7" w14:textId="77777777" w:rsidR="00C44CE5" w:rsidRDefault="00C44CE5" w:rsidP="00D94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zmian w podatku od przychodów ewidencjonowanych</w:t>
      </w:r>
    </w:p>
    <w:p w14:paraId="35B953D1" w14:textId="77777777" w:rsidR="00B861B2" w:rsidRDefault="00B861B2" w:rsidP="00D94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14907" w14:textId="77777777" w:rsidR="00D9404B" w:rsidRPr="00D9404B" w:rsidRDefault="00D9404B" w:rsidP="00D9404B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br/>
      </w:r>
    </w:p>
    <w:p w14:paraId="74EB4BAF" w14:textId="77777777" w:rsidR="00D9404B" w:rsidRDefault="00D9404B" w:rsidP="00D9404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Okręgowa Rada Adwokacka w Warszawie</w:t>
      </w:r>
    </w:p>
    <w:p w14:paraId="01C376FB" w14:textId="77777777" w:rsidR="00D9404B" w:rsidRDefault="00D9404B" w:rsidP="00D9404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składzie: </w:t>
      </w:r>
    </w:p>
    <w:p w14:paraId="42B83F25" w14:textId="77777777" w:rsidR="00D9404B" w:rsidRDefault="00D9404B" w:rsidP="00D9404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B3E9E" w14:textId="77777777" w:rsidR="00D9404B" w:rsidRPr="00B861B2" w:rsidRDefault="00D9404B" w:rsidP="00B861B2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>adw. Mikołaj Pietrzak  –  Dziekan</w:t>
      </w:r>
      <w:r w:rsidR="00B861B2" w:rsidRPr="00B861B2">
        <w:rPr>
          <w:rFonts w:ascii="Times New Roman" w:hAnsi="Times New Roman" w:cs="Times New Roman"/>
          <w:sz w:val="24"/>
          <w:szCs w:val="24"/>
        </w:rPr>
        <w:t xml:space="preserve"> </w:t>
      </w:r>
      <w:r w:rsidR="00B861B2" w:rsidRPr="00B861B2">
        <w:rPr>
          <w:rFonts w:ascii="Times New Roman" w:hAnsi="Times New Roman" w:cs="Times New Roman"/>
          <w:sz w:val="24"/>
          <w:szCs w:val="24"/>
        </w:rPr>
        <w:tab/>
      </w:r>
      <w:r w:rsidR="00B861B2" w:rsidRPr="00B861B2">
        <w:rPr>
          <w:rFonts w:ascii="Times New Roman" w:hAnsi="Times New Roman" w:cs="Times New Roman"/>
          <w:sz w:val="24"/>
          <w:szCs w:val="24"/>
        </w:rPr>
        <w:tab/>
      </w:r>
      <w:r w:rsidR="00B861B2"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</w:p>
    <w:p w14:paraId="147E0B84" w14:textId="77777777" w:rsidR="00D9404B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>adw. Zbigniew Banaszczyk</w:t>
      </w:r>
      <w:r w:rsidRPr="00B861B2">
        <w:rPr>
          <w:rFonts w:ascii="Times New Roman" w:hAnsi="Times New Roman" w:cs="Times New Roman"/>
          <w:sz w:val="24"/>
          <w:szCs w:val="24"/>
        </w:rPr>
        <w:tab/>
      </w:r>
    </w:p>
    <w:p w14:paraId="428C91CF" w14:textId="77777777" w:rsidR="00D9404B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 xml:space="preserve">adw. Anna Czepkowska-Rutkowska – Sekretarz </w:t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</w:p>
    <w:p w14:paraId="25C27749" w14:textId="77777777" w:rsidR="00D9404B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B861B2">
        <w:rPr>
          <w:rFonts w:ascii="Times New Roman" w:hAnsi="Times New Roman" w:cs="Times New Roman"/>
          <w:sz w:val="24"/>
          <w:szCs w:val="24"/>
          <w:lang w:val="de-DE"/>
        </w:rPr>
        <w:t>adw. Michał Fertak</w:t>
      </w:r>
      <w:r w:rsidRPr="00B861B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</w:p>
    <w:p w14:paraId="3066F121" w14:textId="77777777" w:rsidR="00D9404B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 xml:space="preserve">adw. Katarzyna Gajowniczek-Pruszyńska – Wicedziekan </w:t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8"/>
        </w:rPr>
        <w:tab/>
      </w:r>
    </w:p>
    <w:p w14:paraId="783D4F02" w14:textId="77777777" w:rsidR="00D9404B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 xml:space="preserve">adw. Jakub Jacyna – Skarbnik </w:t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  <w:r w:rsidRPr="00B861B2">
        <w:rPr>
          <w:rFonts w:ascii="Times New Roman" w:hAnsi="Times New Roman" w:cs="Times New Roman"/>
          <w:sz w:val="24"/>
          <w:szCs w:val="24"/>
        </w:rPr>
        <w:tab/>
      </w:r>
    </w:p>
    <w:p w14:paraId="630CFFA1" w14:textId="77777777" w:rsidR="00B861B2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>adw. Aleksander Krysztofowicz – Zastępca Sekretarza</w:t>
      </w:r>
      <w:r w:rsidRPr="00B861B2">
        <w:rPr>
          <w:rFonts w:ascii="Times New Roman" w:hAnsi="Times New Roman" w:cs="Times New Roman"/>
          <w:sz w:val="24"/>
          <w:szCs w:val="24"/>
        </w:rPr>
        <w:tab/>
      </w:r>
    </w:p>
    <w:p w14:paraId="04B79FBB" w14:textId="77777777" w:rsidR="00D9404B" w:rsidRPr="00B861B2" w:rsidRDefault="00B861B2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</w:rPr>
        <w:t xml:space="preserve">adw. Andrzej Orliński – Wicedziekan </w:t>
      </w:r>
      <w:r w:rsidR="00D9404B" w:rsidRPr="00B861B2">
        <w:rPr>
          <w:rFonts w:ascii="Times New Roman" w:hAnsi="Times New Roman" w:cs="Times New Roman"/>
          <w:sz w:val="28"/>
        </w:rPr>
        <w:tab/>
      </w:r>
      <w:r w:rsidR="00D9404B" w:rsidRPr="00B861B2">
        <w:rPr>
          <w:rFonts w:ascii="Times New Roman" w:hAnsi="Times New Roman" w:cs="Times New Roman"/>
          <w:sz w:val="28"/>
        </w:rPr>
        <w:tab/>
      </w:r>
    </w:p>
    <w:p w14:paraId="13776D0D" w14:textId="77777777" w:rsidR="00D9404B" w:rsidRPr="00B861B2" w:rsidRDefault="00D9404B" w:rsidP="00B861B2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</w:rPr>
      </w:pPr>
      <w:r w:rsidRPr="00B861B2">
        <w:rPr>
          <w:rFonts w:ascii="Times New Roman" w:hAnsi="Times New Roman" w:cs="Times New Roman"/>
          <w:sz w:val="24"/>
          <w:szCs w:val="24"/>
          <w:lang w:val="de-DE"/>
        </w:rPr>
        <w:t>adw. Luka Szaranowicz</w:t>
      </w:r>
      <w:r w:rsidRPr="00B861B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861B2"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861B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</w:p>
    <w:p w14:paraId="679F5453" w14:textId="77777777" w:rsidR="00D9404B" w:rsidRPr="00B861B2" w:rsidRDefault="00D9404B" w:rsidP="00D9404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</w:rPr>
      </w:pPr>
      <w:r w:rsidRPr="00B861B2">
        <w:rPr>
          <w:rFonts w:ascii="Times New Roman" w:hAnsi="Times New Roman" w:cs="Times New Roman"/>
          <w:sz w:val="24"/>
          <w:szCs w:val="24"/>
          <w:lang w:val="de-DE"/>
        </w:rPr>
        <w:t>adw. Michał Szpakowski</w:t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  <w:r w:rsidRPr="00B861B2">
        <w:rPr>
          <w:rFonts w:ascii="Times New Roman" w:hAnsi="Times New Roman" w:cs="Times New Roman"/>
          <w:sz w:val="28"/>
        </w:rPr>
        <w:tab/>
      </w:r>
    </w:p>
    <w:p w14:paraId="6672F4BA" w14:textId="77777777" w:rsidR="00D9404B" w:rsidRPr="00B861B2" w:rsidRDefault="00D9404B" w:rsidP="00D9404B">
      <w:pPr>
        <w:pStyle w:val="Bezodstpw1"/>
        <w:numPr>
          <w:ilvl w:val="0"/>
          <w:numId w:val="1"/>
        </w:numPr>
        <w:tabs>
          <w:tab w:val="left" w:pos="567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1B2">
        <w:rPr>
          <w:rFonts w:ascii="Times New Roman" w:hAnsi="Times New Roman" w:cs="Times New Roman"/>
          <w:sz w:val="24"/>
          <w:szCs w:val="24"/>
          <w:lang w:val="de-DE"/>
        </w:rPr>
        <w:t>adw. Maciej Ślusarek</w:t>
      </w:r>
      <w:r w:rsidRPr="00B861B2">
        <w:rPr>
          <w:rFonts w:ascii="Book Antiqua" w:hAnsi="Book Antiqua"/>
          <w:sz w:val="24"/>
          <w:szCs w:val="24"/>
          <w:lang w:val="de-DE"/>
        </w:rPr>
        <w:tab/>
      </w:r>
    </w:p>
    <w:p w14:paraId="63237815" w14:textId="77777777" w:rsidR="00D9404B" w:rsidRPr="00343C62" w:rsidRDefault="00D9404B" w:rsidP="00D940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C2A8C6" w14:textId="77777777" w:rsidR="00D9404B" w:rsidRPr="008D324B" w:rsidRDefault="00D9404B" w:rsidP="00D9404B">
      <w:pPr>
        <w:spacing w:after="0" w:line="30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D324B">
        <w:rPr>
          <w:rFonts w:ascii="Times New Roman" w:hAnsi="Times New Roman"/>
          <w:b/>
          <w:spacing w:val="20"/>
          <w:sz w:val="24"/>
          <w:szCs w:val="24"/>
        </w:rPr>
        <w:t>w głosowaniu jawnym</w:t>
      </w:r>
    </w:p>
    <w:p w14:paraId="60D1AA64" w14:textId="77777777" w:rsidR="00D9404B" w:rsidRPr="008D324B" w:rsidRDefault="00D9404B" w:rsidP="00D9404B">
      <w:pPr>
        <w:spacing w:after="0" w:line="30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D324B">
        <w:rPr>
          <w:rFonts w:ascii="Times New Roman" w:hAnsi="Times New Roman"/>
          <w:b/>
          <w:spacing w:val="20"/>
          <w:sz w:val="24"/>
          <w:szCs w:val="24"/>
        </w:rPr>
        <w:t>(głosów: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861B2">
        <w:rPr>
          <w:rFonts w:ascii="Times New Roman" w:hAnsi="Times New Roman"/>
          <w:b/>
          <w:spacing w:val="20"/>
          <w:sz w:val="24"/>
          <w:szCs w:val="24"/>
        </w:rPr>
        <w:t>11</w:t>
      </w:r>
      <w:r w:rsidRPr="008D324B">
        <w:rPr>
          <w:rFonts w:ascii="Times New Roman" w:hAnsi="Times New Roman"/>
          <w:b/>
          <w:spacing w:val="20"/>
          <w:sz w:val="24"/>
          <w:szCs w:val="24"/>
        </w:rPr>
        <w:t xml:space="preserve"> – za, 0 – przeciwnych, </w:t>
      </w:r>
      <w:r>
        <w:rPr>
          <w:rFonts w:ascii="Times New Roman" w:hAnsi="Times New Roman"/>
          <w:b/>
          <w:spacing w:val="20"/>
          <w:sz w:val="24"/>
          <w:szCs w:val="24"/>
        </w:rPr>
        <w:t>0</w:t>
      </w:r>
      <w:r w:rsidRPr="008D324B">
        <w:rPr>
          <w:rFonts w:ascii="Times New Roman" w:hAnsi="Times New Roman"/>
          <w:b/>
          <w:spacing w:val="20"/>
          <w:sz w:val="24"/>
          <w:szCs w:val="24"/>
        </w:rPr>
        <w:t xml:space="preserve"> – </w:t>
      </w:r>
      <w:r>
        <w:rPr>
          <w:rFonts w:ascii="Times New Roman" w:hAnsi="Times New Roman"/>
          <w:b/>
          <w:spacing w:val="20"/>
          <w:sz w:val="24"/>
          <w:szCs w:val="24"/>
        </w:rPr>
        <w:t>wstrzymujących</w:t>
      </w:r>
      <w:r w:rsidRPr="008D324B">
        <w:rPr>
          <w:rFonts w:ascii="Times New Roman" w:hAnsi="Times New Roman"/>
          <w:b/>
          <w:spacing w:val="20"/>
          <w:sz w:val="24"/>
          <w:szCs w:val="24"/>
        </w:rPr>
        <w:t xml:space="preserve"> się)</w:t>
      </w:r>
    </w:p>
    <w:p w14:paraId="66829ED5" w14:textId="77777777" w:rsidR="00C44CE5" w:rsidRDefault="00D9404B" w:rsidP="00C44CE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D324B">
        <w:rPr>
          <w:rFonts w:ascii="Times New Roman" w:hAnsi="Times New Roman"/>
          <w:b/>
          <w:spacing w:val="20"/>
          <w:sz w:val="24"/>
          <w:szCs w:val="24"/>
        </w:rPr>
        <w:t>podjęła następujące stanowisko:</w:t>
      </w:r>
    </w:p>
    <w:p w14:paraId="3C144FC9" w14:textId="77777777" w:rsidR="00C44CE5" w:rsidRPr="00C44CE5" w:rsidRDefault="00C44CE5" w:rsidP="00C44CE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24595E7" w14:textId="77777777" w:rsidR="00C44CE5" w:rsidRPr="00C44CE5" w:rsidRDefault="00C44CE5" w:rsidP="00C44CE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4CE5">
        <w:rPr>
          <w:rFonts w:ascii="Times New Roman" w:hAnsi="Times New Roman"/>
          <w:iCs/>
          <w:sz w:val="24"/>
          <w:szCs w:val="24"/>
        </w:rPr>
        <w:t>Okręgowa Rada Adwokacka w Warszawie z niepokojem</w:t>
      </w:r>
      <w:r>
        <w:rPr>
          <w:rFonts w:ascii="Times New Roman" w:hAnsi="Times New Roman"/>
          <w:iCs/>
          <w:sz w:val="24"/>
          <w:szCs w:val="24"/>
        </w:rPr>
        <w:t xml:space="preserve"> stwierdza, że projekt ustawy o </w:t>
      </w:r>
      <w:r w:rsidRPr="00C44CE5">
        <w:rPr>
          <w:rFonts w:ascii="Times New Roman" w:hAnsi="Times New Roman"/>
          <w:iCs/>
          <w:sz w:val="24"/>
          <w:szCs w:val="24"/>
        </w:rPr>
        <w:t>zmianie ustawy o podatku dochodowym od osób fizycznych, ustawy o podatku dochodowym od osób prawnych, ustawy o zryczałtowanym podatku dochodowym od niektórych przychodów osiąganych przez osoby fizyczne oraz niektórych innych ustaw (projekt z dnia 15 września 2020 r, numer UD126) wprowadza nieuzasadnione zróżnicowanie opodatkowania podatkiem dochodowym od osób fizycznych w wariancie rozlicze</w:t>
      </w:r>
      <w:r>
        <w:rPr>
          <w:rFonts w:ascii="Times New Roman" w:hAnsi="Times New Roman"/>
          <w:iCs/>
          <w:sz w:val="24"/>
          <w:szCs w:val="24"/>
        </w:rPr>
        <w:t>nia ryczałtowego, polegające na </w:t>
      </w:r>
      <w:r w:rsidRPr="00C44CE5">
        <w:rPr>
          <w:rFonts w:ascii="Times New Roman" w:hAnsi="Times New Roman"/>
          <w:iCs/>
          <w:sz w:val="24"/>
          <w:szCs w:val="24"/>
        </w:rPr>
        <w:t>stworzeniu preferencji podatkowej dla podmiotów n</w:t>
      </w:r>
      <w:r>
        <w:rPr>
          <w:rFonts w:ascii="Times New Roman" w:hAnsi="Times New Roman"/>
          <w:iCs/>
          <w:sz w:val="24"/>
          <w:szCs w:val="24"/>
        </w:rPr>
        <w:t>ie będących profesjonalistami a </w:t>
      </w:r>
      <w:r w:rsidRPr="00C44CE5">
        <w:rPr>
          <w:rFonts w:ascii="Times New Roman" w:hAnsi="Times New Roman"/>
          <w:iCs/>
          <w:sz w:val="24"/>
          <w:szCs w:val="24"/>
        </w:rPr>
        <w:t>świadczącymi usługi prawne.</w:t>
      </w:r>
    </w:p>
    <w:p w14:paraId="7294AE7C" w14:textId="77777777" w:rsidR="00C44CE5" w:rsidRPr="00C44CE5" w:rsidRDefault="00C44CE5" w:rsidP="00C44CE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4CE5">
        <w:rPr>
          <w:rFonts w:ascii="Times New Roman" w:hAnsi="Times New Roman"/>
          <w:iCs/>
          <w:sz w:val="24"/>
          <w:szCs w:val="24"/>
        </w:rPr>
        <w:t>Projekt ten stawia w gorszej sytuacji przedstawicieli wol</w:t>
      </w:r>
      <w:r>
        <w:rPr>
          <w:rFonts w:ascii="Times New Roman" w:hAnsi="Times New Roman"/>
          <w:iCs/>
          <w:sz w:val="24"/>
          <w:szCs w:val="24"/>
        </w:rPr>
        <w:t>nych zawodów, w tym adwokatów i </w:t>
      </w:r>
      <w:r w:rsidRPr="00C44CE5">
        <w:rPr>
          <w:rFonts w:ascii="Times New Roman" w:hAnsi="Times New Roman"/>
          <w:iCs/>
          <w:sz w:val="24"/>
          <w:szCs w:val="24"/>
        </w:rPr>
        <w:t>radców prawnych. Tymczasem to właśnie przedstawiciele wolnych zawodów - w tym adwokaci i radcowie prawni - ze względu na niezbędną rolę pełnioną na rzecz bezpieczeństwa obrotu prawnego, praw i wolności oraz społeczeństwa obywatelskiego oraz związane z tym obciążenia i dodatkowe koszty – powinni być beneficjentami ew. preferencyjnego opodatkowania.</w:t>
      </w:r>
    </w:p>
    <w:p w14:paraId="4CF6B6B8" w14:textId="77777777" w:rsidR="00C44CE5" w:rsidRPr="00C44CE5" w:rsidRDefault="00C44CE5" w:rsidP="00C44CE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4CE5">
        <w:rPr>
          <w:rFonts w:ascii="Times New Roman" w:hAnsi="Times New Roman"/>
          <w:iCs/>
          <w:sz w:val="24"/>
          <w:szCs w:val="24"/>
        </w:rPr>
        <w:lastRenderedPageBreak/>
        <w:t>Z projektu bowiem wynika, że o ile przedstawicieli wolnych zawodów w tym adwokatów, radców prawnych – w przypadku wyboru ryczałtowej formy rozliczenia podatku - obowiązywałaby stawka 17% przychodów, to usługi prawne świadczone przez nieprofesjonalistów miałyby być odjęte niższą 15% stawką. Narusza to zasady równości</w:t>
      </w:r>
      <w:r w:rsidRPr="00C44CE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44CE5">
        <w:rPr>
          <w:rFonts w:ascii="Times New Roman" w:hAnsi="Times New Roman"/>
          <w:iCs/>
          <w:sz w:val="24"/>
          <w:szCs w:val="24"/>
        </w:rPr>
        <w:t xml:space="preserve">określone zarówno Konstytucją RP, jak u przepisami prawa UE. Stanowi to naruszenie zakazu dyskryminacji podatkowej. Osoby, które nie wykonują wolnego zawodu, nie pełnią krytycznej roli w systemie ochrony praw, wolności i porządku prawnego, są uprzywilejowane. Budzi </w:t>
      </w:r>
      <w:r>
        <w:rPr>
          <w:rFonts w:ascii="Times New Roman" w:hAnsi="Times New Roman"/>
          <w:iCs/>
          <w:sz w:val="24"/>
          <w:szCs w:val="24"/>
        </w:rPr>
        <w:t>to </w:t>
      </w:r>
      <w:r w:rsidRPr="00C44CE5">
        <w:rPr>
          <w:rFonts w:ascii="Times New Roman" w:hAnsi="Times New Roman"/>
          <w:iCs/>
          <w:sz w:val="24"/>
          <w:szCs w:val="24"/>
        </w:rPr>
        <w:t>uzasadniony protest samorządów zawodów zaufani</w:t>
      </w:r>
      <w:r>
        <w:rPr>
          <w:rFonts w:ascii="Times New Roman" w:hAnsi="Times New Roman"/>
          <w:iCs/>
          <w:sz w:val="24"/>
          <w:szCs w:val="24"/>
        </w:rPr>
        <w:t>a publicznego (zdefiniowanych w </w:t>
      </w:r>
      <w:r w:rsidRPr="00C44CE5">
        <w:rPr>
          <w:rFonts w:ascii="Times New Roman" w:hAnsi="Times New Roman"/>
          <w:iCs/>
          <w:sz w:val="24"/>
          <w:szCs w:val="24"/>
        </w:rPr>
        <w:t>projekcie ustawy jako „wolne zawody”).</w:t>
      </w:r>
    </w:p>
    <w:p w14:paraId="2FCC8B6F" w14:textId="77777777" w:rsidR="00D9404B" w:rsidRPr="00C44CE5" w:rsidRDefault="00C44CE5" w:rsidP="00C44CE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44CE5">
        <w:rPr>
          <w:rFonts w:ascii="Times New Roman" w:hAnsi="Times New Roman"/>
          <w:iCs/>
          <w:sz w:val="24"/>
          <w:szCs w:val="24"/>
        </w:rPr>
        <w:t xml:space="preserve">Wobec powyższego wzywamy do podjęcia przez NRA w porozumieniu z innymi samorządami zawodów zaufania publicznego zdecydowanych działań, aby </w:t>
      </w:r>
      <w:r>
        <w:rPr>
          <w:rFonts w:ascii="Times New Roman" w:hAnsi="Times New Roman"/>
          <w:iCs/>
          <w:sz w:val="24"/>
          <w:szCs w:val="24"/>
        </w:rPr>
        <w:t>przywrócić właściwe proporcje i </w:t>
      </w:r>
      <w:r w:rsidRPr="00C44CE5">
        <w:rPr>
          <w:rFonts w:ascii="Times New Roman" w:hAnsi="Times New Roman"/>
          <w:iCs/>
          <w:sz w:val="24"/>
          <w:szCs w:val="24"/>
        </w:rPr>
        <w:t>odwrócić stawki w ten sposób, aby przedstawicieli wolnych zawodów ponoszących wszelkie koszty (obowiązkowe OC, utrzymanie samorządowego sądownictwa dyscyplinarnego, szkolenia zawodowego) nie karać, lecz uprzywilejować st</w:t>
      </w:r>
      <w:r>
        <w:rPr>
          <w:rFonts w:ascii="Times New Roman" w:hAnsi="Times New Roman"/>
          <w:iCs/>
          <w:sz w:val="24"/>
          <w:szCs w:val="24"/>
        </w:rPr>
        <w:t>awką 15 %, natomiast usługi (w </w:t>
      </w:r>
      <w:r w:rsidRPr="00C44CE5">
        <w:rPr>
          <w:rFonts w:ascii="Times New Roman" w:hAnsi="Times New Roman"/>
          <w:iCs/>
          <w:sz w:val="24"/>
          <w:szCs w:val="24"/>
        </w:rPr>
        <w:t>szczególności prawne, księgowe, podatkowe) świadczone przez podmioty nieprofesjonalne opodatkować stawką 17 %.</w:t>
      </w:r>
    </w:p>
    <w:sectPr w:rsidR="00D9404B" w:rsidRPr="00C4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3811"/>
    <w:multiLevelType w:val="hybridMultilevel"/>
    <w:tmpl w:val="505065DA"/>
    <w:lvl w:ilvl="0" w:tplc="DCCE4568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FC"/>
    <w:rsid w:val="0004201F"/>
    <w:rsid w:val="00632AFC"/>
    <w:rsid w:val="007C2EC4"/>
    <w:rsid w:val="00B861B2"/>
    <w:rsid w:val="00C44CE5"/>
    <w:rsid w:val="00D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630"/>
  <w15:chartTrackingRefBased/>
  <w15:docId w15:val="{27D776D4-C108-4159-946B-E34D533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404B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9404B"/>
    <w:pPr>
      <w:spacing w:after="200" w:line="276" w:lineRule="auto"/>
      <w:ind w:left="720"/>
    </w:pPr>
    <w:rPr>
      <w:rFonts w:cs="Calibri"/>
      <w:kern w:val="3"/>
      <w:lang w:eastAsia="ar-SA"/>
    </w:rPr>
  </w:style>
  <w:style w:type="paragraph" w:customStyle="1" w:styleId="Bezodstpw1">
    <w:name w:val="Bez odstępów1"/>
    <w:rsid w:val="00D9404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</w:rPr>
  </w:style>
  <w:style w:type="paragraph" w:customStyle="1" w:styleId="p1">
    <w:name w:val="p1"/>
    <w:basedOn w:val="Normalny"/>
    <w:rsid w:val="00B861B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en-US"/>
    </w:rPr>
  </w:style>
  <w:style w:type="character" w:customStyle="1" w:styleId="s1">
    <w:name w:val="s1"/>
    <w:basedOn w:val="Domylnaczcionkaakapitu"/>
    <w:rsid w:val="00B8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Ryś Malwina</dc:creator>
  <cp:keywords/>
  <dc:description/>
  <cp:lastModifiedBy>Aleksander Rzepecki</cp:lastModifiedBy>
  <cp:revision>2</cp:revision>
  <dcterms:created xsi:type="dcterms:W3CDTF">2020-09-21T15:12:00Z</dcterms:created>
  <dcterms:modified xsi:type="dcterms:W3CDTF">2020-09-21T15:12:00Z</dcterms:modified>
</cp:coreProperties>
</file>