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FA657" w14:textId="77777777" w:rsidR="00F90708" w:rsidRPr="004060C8" w:rsidRDefault="00F90708" w:rsidP="00F90708">
      <w:pPr>
        <w:tabs>
          <w:tab w:val="left" w:pos="4253"/>
        </w:tabs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36"/>
          <w:szCs w:val="36"/>
          <w:lang w:eastAsia="pl-PL"/>
        </w:rPr>
      </w:pPr>
      <w:bookmarkStart w:id="0" w:name="_GoBack"/>
      <w:bookmarkEnd w:id="0"/>
      <w:r w:rsidRPr="004060C8">
        <w:rPr>
          <w:rFonts w:ascii="Verdana" w:eastAsia="Times New Roman" w:hAnsi="Verdana" w:cs="Times New Roman"/>
          <w:b/>
          <w:i/>
          <w:sz w:val="36"/>
          <w:szCs w:val="36"/>
          <w:lang w:eastAsia="pl-PL"/>
        </w:rPr>
        <w:t>Okręgowa Rada Adwokacka w Warszawie</w:t>
      </w:r>
    </w:p>
    <w:p w14:paraId="646D1319" w14:textId="77777777" w:rsidR="00F90708" w:rsidRPr="004060C8" w:rsidRDefault="00F90708" w:rsidP="00F90708">
      <w:pPr>
        <w:pBdr>
          <w:bottom w:val="single" w:sz="12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19"/>
          <w:szCs w:val="19"/>
          <w:lang w:eastAsia="pl-PL"/>
        </w:rPr>
      </w:pPr>
      <w:r w:rsidRPr="004060C8">
        <w:rPr>
          <w:rFonts w:ascii="Verdana" w:eastAsia="Times New Roman" w:hAnsi="Verdana" w:cs="Times New Roman"/>
          <w:b/>
          <w:i/>
          <w:sz w:val="19"/>
          <w:szCs w:val="19"/>
          <w:lang w:eastAsia="pl-PL"/>
        </w:rPr>
        <w:t>Al. Ujazdowski</w:t>
      </w:r>
      <w:r>
        <w:rPr>
          <w:rFonts w:ascii="Verdana" w:eastAsia="Times New Roman" w:hAnsi="Verdana" w:cs="Times New Roman"/>
          <w:b/>
          <w:i/>
          <w:sz w:val="19"/>
          <w:szCs w:val="19"/>
          <w:lang w:eastAsia="pl-PL"/>
        </w:rPr>
        <w:t>e 49, 00-536 Warszawa, tel.: (22)</w:t>
      </w:r>
      <w:r w:rsidRPr="004060C8">
        <w:rPr>
          <w:rFonts w:ascii="Verdana" w:eastAsia="Times New Roman" w:hAnsi="Verdana" w:cs="Times New Roman"/>
          <w:b/>
          <w:i/>
          <w:sz w:val="19"/>
          <w:szCs w:val="19"/>
          <w:lang w:eastAsia="pl-PL"/>
        </w:rPr>
        <w:t xml:space="preserve"> 584-96-38, fax: </w:t>
      </w:r>
      <w:r>
        <w:rPr>
          <w:rFonts w:ascii="Verdana" w:eastAsia="Times New Roman" w:hAnsi="Verdana" w:cs="Times New Roman"/>
          <w:b/>
          <w:i/>
          <w:sz w:val="19"/>
          <w:szCs w:val="19"/>
          <w:lang w:eastAsia="pl-PL"/>
        </w:rPr>
        <w:t>(</w:t>
      </w:r>
      <w:r w:rsidRPr="004060C8">
        <w:rPr>
          <w:rFonts w:ascii="Verdana" w:eastAsia="Times New Roman" w:hAnsi="Verdana" w:cs="Times New Roman"/>
          <w:b/>
          <w:i/>
          <w:sz w:val="19"/>
          <w:szCs w:val="19"/>
          <w:lang w:eastAsia="pl-PL"/>
        </w:rPr>
        <w:t>22</w:t>
      </w:r>
      <w:r>
        <w:rPr>
          <w:rFonts w:ascii="Verdana" w:eastAsia="Times New Roman" w:hAnsi="Verdana" w:cs="Times New Roman"/>
          <w:b/>
          <w:i/>
          <w:sz w:val="19"/>
          <w:szCs w:val="19"/>
          <w:lang w:eastAsia="pl-PL"/>
        </w:rPr>
        <w:t xml:space="preserve">) </w:t>
      </w:r>
      <w:r w:rsidRPr="004060C8">
        <w:rPr>
          <w:rFonts w:ascii="Verdana" w:eastAsia="Times New Roman" w:hAnsi="Verdana" w:cs="Times New Roman"/>
          <w:b/>
          <w:i/>
          <w:sz w:val="19"/>
          <w:szCs w:val="19"/>
          <w:lang w:eastAsia="pl-PL"/>
        </w:rPr>
        <w:t>584-96-22</w:t>
      </w:r>
    </w:p>
    <w:p w14:paraId="47828876" w14:textId="77777777" w:rsidR="00F90708" w:rsidRPr="004060C8" w:rsidRDefault="00F90708" w:rsidP="00F90708">
      <w:pPr>
        <w:pBdr>
          <w:bottom w:val="single" w:sz="12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18"/>
          <w:szCs w:val="18"/>
          <w:lang w:val="en-US" w:eastAsia="pl-PL"/>
        </w:rPr>
      </w:pPr>
      <w:r w:rsidRPr="004060C8">
        <w:rPr>
          <w:rFonts w:ascii="Verdana" w:eastAsia="Times New Roman" w:hAnsi="Verdana" w:cs="Times New Roman"/>
          <w:b/>
          <w:i/>
          <w:sz w:val="18"/>
          <w:szCs w:val="18"/>
          <w:lang w:val="en-US" w:eastAsia="pl-PL"/>
        </w:rPr>
        <w:t>www.ora-warszawa.com.pl                        e-mail: ora.warszawa@adwokatura.pl</w:t>
      </w:r>
    </w:p>
    <w:p w14:paraId="75BA03A9" w14:textId="77777777" w:rsidR="00F90708" w:rsidRPr="004060C8" w:rsidRDefault="00F90708" w:rsidP="00F90708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24"/>
          <w:szCs w:val="24"/>
          <w:lang w:eastAsia="pl-PL"/>
        </w:rPr>
      </w:pPr>
      <w:r w:rsidRPr="004060C8">
        <w:rPr>
          <w:rFonts w:ascii="Verdana" w:eastAsia="Times New Roman" w:hAnsi="Verdana" w:cs="Times New Roman"/>
          <w:b/>
          <w:i/>
          <w:sz w:val="24"/>
          <w:szCs w:val="24"/>
          <w:lang w:eastAsia="pl-PL"/>
        </w:rPr>
        <w:t xml:space="preserve">K O M I S J A </w:t>
      </w:r>
      <w:r w:rsidR="007E321D">
        <w:rPr>
          <w:rFonts w:ascii="Verdana" w:eastAsia="Times New Roman" w:hAnsi="Verdana" w:cs="Times New Roman"/>
          <w:b/>
          <w:i/>
          <w:sz w:val="24"/>
          <w:szCs w:val="24"/>
          <w:lang w:eastAsia="pl-PL"/>
        </w:rPr>
        <w:t xml:space="preserve"> </w:t>
      </w:r>
      <w:r w:rsidRPr="004060C8">
        <w:rPr>
          <w:rFonts w:ascii="Verdana" w:eastAsia="Times New Roman" w:hAnsi="Verdana" w:cs="Times New Roman"/>
          <w:b/>
          <w:i/>
          <w:sz w:val="24"/>
          <w:szCs w:val="24"/>
          <w:lang w:eastAsia="pl-PL"/>
        </w:rPr>
        <w:t xml:space="preserve"> </w:t>
      </w:r>
      <w:r w:rsidR="007E321D">
        <w:rPr>
          <w:rFonts w:ascii="Verdana" w:eastAsia="Times New Roman" w:hAnsi="Verdana" w:cs="Times New Roman"/>
          <w:b/>
          <w:i/>
          <w:sz w:val="24"/>
          <w:szCs w:val="24"/>
          <w:lang w:eastAsia="pl-PL"/>
        </w:rPr>
        <w:t xml:space="preserve">E T Y K I  </w:t>
      </w:r>
      <w:proofErr w:type="spellStart"/>
      <w:r w:rsidR="007E321D">
        <w:rPr>
          <w:rFonts w:ascii="Verdana" w:eastAsia="Times New Roman" w:hAnsi="Verdana" w:cs="Times New Roman"/>
          <w:b/>
          <w:i/>
          <w:sz w:val="24"/>
          <w:szCs w:val="24"/>
          <w:lang w:eastAsia="pl-PL"/>
        </w:rPr>
        <w:t>I</w:t>
      </w:r>
      <w:proofErr w:type="spellEnd"/>
      <w:r w:rsidR="007E321D">
        <w:rPr>
          <w:rFonts w:ascii="Verdana" w:eastAsia="Times New Roman" w:hAnsi="Verdana" w:cs="Times New Roman"/>
          <w:b/>
          <w:i/>
          <w:sz w:val="24"/>
          <w:szCs w:val="24"/>
          <w:lang w:eastAsia="pl-PL"/>
        </w:rPr>
        <w:t xml:space="preserve">  T A J E M N I C Y  A D W O K A C K I E J</w:t>
      </w:r>
    </w:p>
    <w:p w14:paraId="7C2B60B4" w14:textId="77777777" w:rsidR="00F90708" w:rsidRPr="004060C8" w:rsidRDefault="00F90708" w:rsidP="00F9070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1B64EF1" w14:textId="64B75C70" w:rsidR="00F11339" w:rsidRDefault="00F11339" w:rsidP="00F11339">
      <w:pPr>
        <w:jc w:val="right"/>
      </w:pPr>
      <w:r>
        <w:t>Warszawa, 27 września 2019 roku</w:t>
      </w:r>
    </w:p>
    <w:p w14:paraId="69622813" w14:textId="77777777" w:rsidR="00F11339" w:rsidRDefault="00F11339" w:rsidP="00F11339">
      <w:pPr>
        <w:jc w:val="right"/>
      </w:pPr>
    </w:p>
    <w:p w14:paraId="6D49D8C8" w14:textId="77777777" w:rsidR="00F11339" w:rsidRDefault="00F11339" w:rsidP="00F11339"/>
    <w:p w14:paraId="560FAC96" w14:textId="325CD188" w:rsidR="00F11339" w:rsidRDefault="00F11339" w:rsidP="00F11339">
      <w:r>
        <w:t>Szanowni Państwo,</w:t>
      </w:r>
    </w:p>
    <w:p w14:paraId="41A2ABB5" w14:textId="77777777" w:rsidR="00F11339" w:rsidRDefault="00F11339" w:rsidP="00F11339">
      <w:pPr>
        <w:jc w:val="both"/>
      </w:pPr>
      <w:r>
        <w:t>Uchwałą nr 66/2019 z dnia 21 września 2019 r. Naczelna Rada Adwokacka nadała § 9 Zbioru Zasad Etyki Adwokackiej i Godności Zawodu (tekst jednolity – obwieszczenie Prezydium Naczelnej Rady Adwokackiej z dnia 27 lutego 2018 r.) („</w:t>
      </w:r>
      <w:r>
        <w:rPr>
          <w:b/>
          <w:bCs/>
        </w:rPr>
        <w:t>ZZEA</w:t>
      </w:r>
      <w:r>
        <w:t>”) nowe brzmienie:</w:t>
      </w:r>
    </w:p>
    <w:p w14:paraId="18A20DBB" w14:textId="77777777" w:rsidR="00F11339" w:rsidRPr="00BD4588" w:rsidRDefault="00F11339" w:rsidP="00F113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bCs/>
        </w:rPr>
      </w:pPr>
      <w:r>
        <w:t xml:space="preserve"> </w:t>
      </w:r>
      <w:r w:rsidRPr="00BD4588">
        <w:rPr>
          <w:rFonts w:cs="Arial Unicode MS"/>
          <w:color w:val="000000"/>
        </w:rPr>
        <w:t>„</w:t>
      </w:r>
      <w:r w:rsidRPr="00BD4588">
        <w:rPr>
          <w:rFonts w:cs="Arial Unicode MS"/>
          <w:b/>
          <w:bCs/>
          <w:color w:val="000000"/>
        </w:rPr>
        <w:t>1. Z zawodem adwokata nie wolno łączyć zajęć, których wykonywanie uwłaczałoby godności zawodu adwokata lub ograniczało jego niezależność oraz podważało zaufanie do Adwokatury.</w:t>
      </w:r>
    </w:p>
    <w:p w14:paraId="1BF583A5" w14:textId="77777777" w:rsidR="00F11339" w:rsidRPr="00BD4588" w:rsidRDefault="00F11339" w:rsidP="00F113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b/>
          <w:bCs/>
          <w:color w:val="000000"/>
        </w:rPr>
      </w:pPr>
      <w:r w:rsidRPr="00BD4588">
        <w:rPr>
          <w:rFonts w:cs="Arial Unicode MS"/>
          <w:b/>
          <w:bCs/>
          <w:color w:val="000000"/>
        </w:rPr>
        <w:t>2. Łączenie zajęć nie może prowadzić do:</w:t>
      </w:r>
    </w:p>
    <w:p w14:paraId="34C81A13" w14:textId="77777777" w:rsidR="00F11339" w:rsidRPr="00BD4588" w:rsidRDefault="00F11339" w:rsidP="00F11339">
      <w:pPr>
        <w:numPr>
          <w:ilvl w:val="0"/>
          <w:numId w:val="9"/>
        </w:numPr>
        <w:spacing w:after="0" w:line="240" w:lineRule="auto"/>
        <w:jc w:val="both"/>
        <w:rPr>
          <w:rFonts w:eastAsia="Arial Unicode MS" w:cs="Arial Unicode MS"/>
          <w:b/>
          <w:bCs/>
          <w:color w:val="000000"/>
        </w:rPr>
      </w:pPr>
      <w:r w:rsidRPr="00BD4588">
        <w:rPr>
          <w:rFonts w:cs="Arial Unicode MS"/>
          <w:b/>
          <w:bCs/>
          <w:color w:val="000000"/>
        </w:rPr>
        <w:t>obniżenia jakości świadczonej przez adwokata pomocy prawnej;</w:t>
      </w:r>
    </w:p>
    <w:p w14:paraId="7B9D092A" w14:textId="77777777" w:rsidR="00F11339" w:rsidRPr="00BD4588" w:rsidRDefault="00F11339" w:rsidP="00F11339">
      <w:pPr>
        <w:numPr>
          <w:ilvl w:val="0"/>
          <w:numId w:val="9"/>
        </w:numPr>
        <w:spacing w:after="160" w:line="240" w:lineRule="auto"/>
        <w:jc w:val="both"/>
        <w:rPr>
          <w:rFonts w:cs="Arial Unicode MS"/>
          <w:b/>
          <w:bCs/>
          <w:color w:val="000000"/>
        </w:rPr>
      </w:pPr>
      <w:r w:rsidRPr="00BD4588">
        <w:rPr>
          <w:rFonts w:cs="Arial Unicode MS"/>
          <w:b/>
          <w:bCs/>
          <w:color w:val="000000"/>
        </w:rPr>
        <w:t xml:space="preserve">utraty zaufania będącego podstawą stosunku wiążącego adwokata z jego klientem. </w:t>
      </w:r>
    </w:p>
    <w:p w14:paraId="52758E49" w14:textId="77777777" w:rsidR="00F11339" w:rsidRPr="00BD4588" w:rsidRDefault="00F11339" w:rsidP="00F113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b/>
          <w:bCs/>
          <w:color w:val="000000"/>
        </w:rPr>
      </w:pPr>
      <w:r w:rsidRPr="00BD4588">
        <w:rPr>
          <w:rFonts w:cs="Arial Unicode MS"/>
          <w:b/>
          <w:bCs/>
          <w:color w:val="000000"/>
        </w:rPr>
        <w:t>3. Prowadząc działalność zarobkową niezwiązaną z kształtowaniem świadomości prawnej lub ze świadczeniem pomocy prawnej, adwokat nie może używać tytułu zawodowego</w:t>
      </w:r>
      <w:r w:rsidRPr="00BD4588">
        <w:rPr>
          <w:rFonts w:cs="Arial Unicode MS"/>
          <w:color w:val="000000"/>
        </w:rPr>
        <w:t>”</w:t>
      </w:r>
      <w:r w:rsidRPr="006B2C9D">
        <w:rPr>
          <w:rFonts w:cs="Arial Unicode MS"/>
          <w:color w:val="000000"/>
        </w:rPr>
        <w:t>.</w:t>
      </w:r>
    </w:p>
    <w:p w14:paraId="02E07472" w14:textId="77777777" w:rsidR="00F11339" w:rsidRDefault="00F11339" w:rsidP="00F113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Nowe unormowanie w szczególności znosi kazuistycznie ujęte zakazy: </w:t>
      </w:r>
    </w:p>
    <w:p w14:paraId="77DFD86E" w14:textId="77777777" w:rsidR="00F11339" w:rsidRPr="00AF4132" w:rsidRDefault="00F11339" w:rsidP="00F11339">
      <w:pPr>
        <w:pStyle w:val="Akapitzlist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both"/>
        <w:rPr>
          <w:rFonts w:cs="Arial Unicode MS"/>
          <w:color w:val="000000"/>
        </w:rPr>
      </w:pPr>
      <w:r w:rsidRPr="00AF4132">
        <w:rPr>
          <w:rFonts w:cs="Arial Unicode MS"/>
          <w:color w:val="000000"/>
        </w:rPr>
        <w:t>zajmowania w cudzym przedsiębiorstwie stanowiska zarządcy, sprawowania funkcji członka zarządu, prokurenta w spółkach prawa handlowego oraz członka rady nadzorczej oddelegowanego do zarządu spółki prawa handlowego</w:t>
      </w:r>
      <w:r>
        <w:rPr>
          <w:rFonts w:cs="Arial Unicode MS"/>
          <w:color w:val="000000"/>
        </w:rPr>
        <w:t>;</w:t>
      </w:r>
    </w:p>
    <w:p w14:paraId="617EFBCE" w14:textId="77777777" w:rsidR="00F11339" w:rsidRPr="00AF4132" w:rsidRDefault="00F11339" w:rsidP="00F11339">
      <w:pPr>
        <w:pStyle w:val="Akapitzlist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</w:rPr>
      </w:pPr>
      <w:r w:rsidRPr="00AF4132">
        <w:rPr>
          <w:rFonts w:cs="Arial Unicode MS"/>
          <w:color w:val="000000"/>
        </w:rPr>
        <w:t>podejmowania się zawodowo pośrednictwa przy transakcjach handlowych.</w:t>
      </w:r>
    </w:p>
    <w:p w14:paraId="5F8F0ABD" w14:textId="77777777" w:rsidR="00F11339" w:rsidRDefault="00F11339" w:rsidP="00F113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</w:rPr>
      </w:pPr>
      <w:r>
        <w:rPr>
          <w:rFonts w:cs="Arial Unicode MS"/>
          <w:color w:val="000000"/>
        </w:rPr>
        <w:t>Obecnie zatem granice, w jakich adwokaci powinni się poruszać, łącząc swoją działalność adwokacką z innymi zajęciami zarobkowymi wyznaczają pojęcia godności zawodu, niezależności adwokata oraz dobrego imienia Adwokatury. Jednocześnie wprowadzono istotny zakaz</w:t>
      </w:r>
      <w:r w:rsidRPr="00C43886">
        <w:rPr>
          <w:rFonts w:cs="Arial Unicode MS"/>
          <w:color w:val="000000"/>
        </w:rPr>
        <w:t xml:space="preserve"> </w:t>
      </w:r>
      <w:r>
        <w:rPr>
          <w:rFonts w:cs="Arial Unicode MS"/>
          <w:color w:val="000000"/>
        </w:rPr>
        <w:t>używania tytułu zawodowego przez adwokata, który wykonuje czynności w ramach innej działalności zarobkowej.</w:t>
      </w:r>
    </w:p>
    <w:p w14:paraId="0D9BED00" w14:textId="77777777" w:rsidR="00F11339" w:rsidRDefault="00F11339" w:rsidP="00F113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</w:rPr>
      </w:pPr>
      <w:r>
        <w:rPr>
          <w:rFonts w:cs="Arial Unicode MS"/>
          <w:color w:val="000000"/>
        </w:rPr>
        <w:t>Dotychczasowe nieprecyzyjne brzmienie powyższego przepisu</w:t>
      </w:r>
      <w:r>
        <w:rPr>
          <w:rStyle w:val="Odwoanieprzypisudolnego"/>
          <w:rFonts w:cs="Arial Unicode MS"/>
          <w:color w:val="000000"/>
        </w:rPr>
        <w:footnoteReference w:id="1"/>
      </w:r>
      <w:r>
        <w:rPr>
          <w:rFonts w:cs="Arial Unicode MS"/>
          <w:color w:val="000000"/>
        </w:rPr>
        <w:t xml:space="preserve"> rodziło liczne wątpliwości interpretacyjne, spośród których trzy zasługują na szczególną uwagę: </w:t>
      </w:r>
    </w:p>
    <w:p w14:paraId="3FC3530B" w14:textId="2DDF1C7C" w:rsidR="00F11339" w:rsidRDefault="00F11339" w:rsidP="00F1133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</w:rPr>
      </w:pPr>
    </w:p>
    <w:p w14:paraId="63547EDC" w14:textId="77777777" w:rsidR="00F11339" w:rsidRDefault="00F11339" w:rsidP="00F1133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</w:rPr>
      </w:pPr>
    </w:p>
    <w:p w14:paraId="701088DF" w14:textId="77777777" w:rsidR="00F11339" w:rsidRDefault="00F11339" w:rsidP="00F1133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</w:rPr>
      </w:pPr>
    </w:p>
    <w:p w14:paraId="455FC6A0" w14:textId="77777777" w:rsidR="00F11339" w:rsidRDefault="00F11339" w:rsidP="00F11339">
      <w:pPr>
        <w:pStyle w:val="Akapitzlis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</w:rPr>
      </w:pPr>
      <w:r>
        <w:rPr>
          <w:rFonts w:cs="Arial Unicode MS"/>
          <w:color w:val="000000"/>
        </w:rPr>
        <w:t>czy na gruncie § 9 ust. 2 lit. a) ZZEA adwokat może sprawować funkcję członka zarządu lub prokurenta w spółkach prawa handlowego, nad którymi sprawuje kontrolę, posiadając większość  udziałów lub akcji, albo będąc wyłącznym wspólnikiem bądź akcjonariuszem takiej spółki;</w:t>
      </w:r>
    </w:p>
    <w:p w14:paraId="0653CC75" w14:textId="77777777" w:rsidR="00F11339" w:rsidRDefault="00F11339" w:rsidP="00F11339">
      <w:pPr>
        <w:pStyle w:val="Akapitzlis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</w:rPr>
      </w:pPr>
      <w:r>
        <w:rPr>
          <w:rFonts w:cs="Arial Unicode MS"/>
          <w:color w:val="000000"/>
        </w:rPr>
        <w:t>czy wyrażenie „cudze przedsiębiorstwo” w § 9 ZZEA oznacza wyłącznie przedsiębiorstwo niebędące spółką handlową;</w:t>
      </w:r>
    </w:p>
    <w:p w14:paraId="57D7604C" w14:textId="77777777" w:rsidR="00F11339" w:rsidRPr="00CB6446" w:rsidRDefault="00F11339" w:rsidP="00F11339">
      <w:pPr>
        <w:pStyle w:val="Akapitzlis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czy wskazane w przepisie § 9 ZZEA zakazy dotyczące łączenia zawodu adwokata </w:t>
      </w:r>
      <w:r>
        <w:rPr>
          <w:rFonts w:cs="Arial Unicode MS"/>
          <w:color w:val="000000"/>
        </w:rPr>
        <w:br/>
        <w:t xml:space="preserve">z wykonywaniem innego rodzaju działalności gospodarczej dotyczą wyłącznie adwokatów wykonujących zawód, czy również adwokatów, którzy nie wykonują zawodu. </w:t>
      </w:r>
    </w:p>
    <w:p w14:paraId="7C961B7F" w14:textId="77777777" w:rsidR="00F11339" w:rsidRDefault="00F11339" w:rsidP="00F113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Dodatkowo zwrócić należy uwagę wewnętrzną niespójność dawnego brzmienia § 9 ZZEA, który z jednej strony w ust. 2 pkt a) ustanawiał zakaz wykonywania przez adwokatów określonych form działalności, z drugiej zaś w ust. 4 wskazywał na zgodność tychże form działalności z zasadami etyki adwokackiej.  </w:t>
      </w:r>
    </w:p>
    <w:p w14:paraId="25A9D9D0" w14:textId="77777777" w:rsidR="00F11339" w:rsidRDefault="00F11339" w:rsidP="00F113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Powyższe problemy związane z wykładnią § 9 </w:t>
      </w:r>
      <w:r>
        <w:t xml:space="preserve">ZZEA stanowiły przedmiot dociekań m.in. Komisji Etyki </w:t>
      </w:r>
      <w:r>
        <w:br/>
        <w:t xml:space="preserve">i Tajemnicy Adwokackiej przy Okręgowej Radzie Adwokackiej w Warszawie. W konsekwencji dostrzeżenia potrzeby zmiany omawianej regulacji adwokat Maciej Ślusarek, Przewodniczący Komisji Etyki i Tajemnicy Adwokackiej, skierował do adwokata Jacka Treli, Prezesa Naczelnej Rady Adwokackiej, pismo wskazujące na potrzebę ingerencji </w:t>
      </w:r>
      <w:proofErr w:type="spellStart"/>
      <w:r>
        <w:t>normodawcy</w:t>
      </w:r>
      <w:proofErr w:type="spellEnd"/>
      <w:r>
        <w:t xml:space="preserve"> w treść powyższego przepisu, co ostatecznie stało się faktem.</w:t>
      </w:r>
    </w:p>
    <w:p w14:paraId="0015D204" w14:textId="3B93B881" w:rsidR="00F11339" w:rsidRDefault="00F11339" w:rsidP="00F11339">
      <w:pPr>
        <w:ind w:left="5664" w:firstLine="708"/>
      </w:pPr>
    </w:p>
    <w:p w14:paraId="2D1A0CFF" w14:textId="77777777" w:rsidR="00F11339" w:rsidRDefault="00F11339" w:rsidP="00F11339">
      <w:pPr>
        <w:ind w:left="5664" w:firstLine="708"/>
      </w:pPr>
    </w:p>
    <w:p w14:paraId="60268193" w14:textId="77777777" w:rsidR="00F11339" w:rsidRDefault="00F11339" w:rsidP="00F11339">
      <w:pPr>
        <w:ind w:left="5664" w:firstLine="708"/>
      </w:pPr>
      <w:r>
        <w:t xml:space="preserve">Maciej Ślusarek, </w:t>
      </w:r>
      <w:r w:rsidRPr="006B2C9D">
        <w:rPr>
          <w:i/>
          <w:iCs/>
        </w:rPr>
        <w:t>adwokat</w:t>
      </w:r>
    </w:p>
    <w:p w14:paraId="4045BEFE" w14:textId="77777777" w:rsidR="00F11339" w:rsidRDefault="00F11339" w:rsidP="00F11339">
      <w:pPr>
        <w:ind w:left="5664" w:firstLine="708"/>
      </w:pPr>
      <w:r>
        <w:t xml:space="preserve">Michał Zacharski, </w:t>
      </w:r>
      <w:r w:rsidRPr="006B2C9D">
        <w:rPr>
          <w:i/>
          <w:iCs/>
        </w:rPr>
        <w:t>adwokat</w:t>
      </w:r>
    </w:p>
    <w:p w14:paraId="44C5B22D" w14:textId="74D23293" w:rsidR="00F90708" w:rsidRPr="009458D5" w:rsidRDefault="00F90708" w:rsidP="009458D5">
      <w:pPr>
        <w:spacing w:after="0" w:line="360" w:lineRule="exact"/>
        <w:ind w:left="5664" w:firstLine="708"/>
      </w:pPr>
    </w:p>
    <w:sectPr w:rsidR="00F90708" w:rsidRPr="009458D5" w:rsidSect="00816276"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1F7A" w14:textId="77777777" w:rsidR="00AD540A" w:rsidRDefault="00AD540A" w:rsidP="00F11339">
      <w:pPr>
        <w:spacing w:after="0" w:line="240" w:lineRule="auto"/>
      </w:pPr>
      <w:r>
        <w:separator/>
      </w:r>
    </w:p>
  </w:endnote>
  <w:endnote w:type="continuationSeparator" w:id="0">
    <w:p w14:paraId="20AA8024" w14:textId="77777777" w:rsidR="00AD540A" w:rsidRDefault="00AD540A" w:rsidP="00F1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F64CC" w14:textId="77777777" w:rsidR="00AD540A" w:rsidRDefault="00AD540A" w:rsidP="00F11339">
      <w:pPr>
        <w:spacing w:after="0" w:line="240" w:lineRule="auto"/>
      </w:pPr>
      <w:r>
        <w:separator/>
      </w:r>
    </w:p>
  </w:footnote>
  <w:footnote w:type="continuationSeparator" w:id="0">
    <w:p w14:paraId="39B8EBA0" w14:textId="77777777" w:rsidR="00AD540A" w:rsidRDefault="00AD540A" w:rsidP="00F11339">
      <w:pPr>
        <w:spacing w:after="0" w:line="240" w:lineRule="auto"/>
      </w:pPr>
      <w:r>
        <w:continuationSeparator/>
      </w:r>
    </w:p>
  </w:footnote>
  <w:footnote w:id="1">
    <w:p w14:paraId="4EBCEE8A" w14:textId="77777777" w:rsidR="00F11339" w:rsidRDefault="00F11339" w:rsidP="00F11339">
      <w:pPr>
        <w:pStyle w:val="Tekstprzypisudolnego"/>
      </w:pPr>
      <w:r>
        <w:rPr>
          <w:rStyle w:val="Odwoanieprzypisudolnego"/>
        </w:rPr>
        <w:footnoteRef/>
      </w:r>
      <w:r>
        <w:t xml:space="preserve"> Z zawodem adwokata nie wolno łączyć takich zajęć, które:</w:t>
      </w:r>
    </w:p>
    <w:p w14:paraId="4117FCEC" w14:textId="77777777" w:rsidR="00F11339" w:rsidRDefault="00F11339" w:rsidP="00F11339">
      <w:pPr>
        <w:pStyle w:val="Tekstprzypisudolnego"/>
      </w:pPr>
      <w:r>
        <w:t>a) uwłaczałyby godności zawodu,</w:t>
      </w:r>
    </w:p>
    <w:p w14:paraId="504ECCF0" w14:textId="77777777" w:rsidR="00F11339" w:rsidRDefault="00F11339" w:rsidP="00F11339">
      <w:pPr>
        <w:pStyle w:val="Tekstprzypisudolnego"/>
      </w:pPr>
      <w:r>
        <w:t>b) ograniczałyby niezawisłość adwokata,</w:t>
      </w:r>
    </w:p>
    <w:p w14:paraId="7A18FFE8" w14:textId="77777777" w:rsidR="00F11339" w:rsidRDefault="00F11339" w:rsidP="00F11339">
      <w:pPr>
        <w:pStyle w:val="Tekstprzypisudolnego"/>
      </w:pPr>
      <w:r>
        <w:t>c) podważałyby zaufanie publiczne do Adwokatury.</w:t>
      </w:r>
    </w:p>
    <w:p w14:paraId="2C1E56A0" w14:textId="77777777" w:rsidR="00F11339" w:rsidRDefault="00F11339" w:rsidP="00F11339">
      <w:pPr>
        <w:pStyle w:val="Tekstprzypisudolnego"/>
      </w:pPr>
      <w:r>
        <w:t>2. Za kolidujące z wykonywaniem zawodu adwokackiego uznaje się w szczególności:</w:t>
      </w:r>
    </w:p>
    <w:p w14:paraId="22EE0EF8" w14:textId="77777777" w:rsidR="00F11339" w:rsidRDefault="00F11339" w:rsidP="00F11339">
      <w:pPr>
        <w:pStyle w:val="Tekstprzypisudolnego"/>
        <w:jc w:val="both"/>
      </w:pPr>
      <w:r>
        <w:t xml:space="preserve">a) zajmowanie w cudzym przedsiębiorstwie stanowiska zarządcy, sprawowanie funkcji członka zarządu, prokurenta w spółkach prawa handlowego oraz członka rady nadzorczej oddelegowanego do zarządu spółki prawa handlowego, chyba że jest to przejściowo sprawowana funkcja, mająca za cel wykonanie określonego </w:t>
      </w:r>
      <w:r>
        <w:br/>
        <w:t>i ograniczonego w czasie zlecenia klienta;</w:t>
      </w:r>
    </w:p>
    <w:p w14:paraId="21C10794" w14:textId="77777777" w:rsidR="00F11339" w:rsidRDefault="00F11339" w:rsidP="00F11339">
      <w:pPr>
        <w:pStyle w:val="Tekstprzypisudolnego"/>
        <w:jc w:val="both"/>
      </w:pPr>
      <w:r>
        <w:t xml:space="preserve">b) podejmowanie się zawodowo pośrednictwa przy transakcjach handlowych, z wyjątkiem doradztwa przy zawieraniu umów oraz dokonywania w ramach działalności kancelarii adwokackiej czynności handlowych </w:t>
      </w:r>
      <w:r>
        <w:br/>
        <w:t>i finansowych niezwiązanych z wykonywaniem zawodu adwokata;</w:t>
      </w:r>
    </w:p>
    <w:p w14:paraId="054C772F" w14:textId="77777777" w:rsidR="00F11339" w:rsidRDefault="00F11339" w:rsidP="00F11339">
      <w:pPr>
        <w:pStyle w:val="Tekstprzypisudolnego"/>
        <w:jc w:val="both"/>
      </w:pPr>
      <w:r>
        <w:t>c) prowadzenie kancelarii adwokackiej w tym samym lokalu z osobą prowadzącą inną działalność, gdy taka sytuacja byłaby sprzeczna z zasadami etyki adwokackiej lub mogła narazić dobre imię Adwokatury.</w:t>
      </w:r>
    </w:p>
    <w:p w14:paraId="61850550" w14:textId="77777777" w:rsidR="00F11339" w:rsidRDefault="00F11339" w:rsidP="00F11339">
      <w:pPr>
        <w:pStyle w:val="Tekstprzypisudolnego"/>
        <w:jc w:val="both"/>
      </w:pPr>
      <w:r>
        <w:t xml:space="preserve">3. Przy zawieraniu przez adwokata umowy w zakresie powiernictwa obowiązuje go najwyższa staranność </w:t>
      </w:r>
      <w:r>
        <w:br/>
        <w:t>w badaniu, czy umowa ta nie narusza zasad etyki adwokackiej i godności zawodu.</w:t>
      </w:r>
    </w:p>
    <w:p w14:paraId="4729B397" w14:textId="77777777" w:rsidR="00F11339" w:rsidRDefault="00F11339" w:rsidP="00F11339">
      <w:pPr>
        <w:pStyle w:val="Tekstprzypisudolnego"/>
        <w:jc w:val="both"/>
      </w:pPr>
      <w:r>
        <w:t xml:space="preserve">4. Za zgodne z etyką zawodową uznaje się wykonywanie przez adwokata funkcji syndyka, podejmowanie czynności nadzorcy sądowego, likwidatora i zarządcy działającego na podstawie ustawy Prawo upadłościowe </w:t>
      </w:r>
      <w:r>
        <w:br/>
        <w:t>i naprawcze, pełnienie funkcji kuratora we władzach fundacji, w radach nadzorczych, zarządach spółdzielni mieszkaniowych i innych, a także pełnienie obowiązków członka zarządu i prokurenta spółek prawa handlowego z zastrzeżeniem przepisów powyższych, a także dotyczących zasad ochrony tajemnicy adwokackiej. W trakcie pełnienia powyższych funkcji, adwokata obowiązuje stosowanie się do przepisów niniejszych zasad.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4BF5"/>
    <w:multiLevelType w:val="hybridMultilevel"/>
    <w:tmpl w:val="D6D89442"/>
    <w:lvl w:ilvl="0" w:tplc="19F067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77C3C"/>
    <w:multiLevelType w:val="hybridMultilevel"/>
    <w:tmpl w:val="65D062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64817"/>
    <w:multiLevelType w:val="hybridMultilevel"/>
    <w:tmpl w:val="9D3230CE"/>
    <w:lvl w:ilvl="0" w:tplc="8C6EE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F44D9"/>
    <w:multiLevelType w:val="hybridMultilevel"/>
    <w:tmpl w:val="E62E351C"/>
    <w:styleLink w:val="Zaimportowanystyl1"/>
    <w:lvl w:ilvl="0" w:tplc="C484AAFC">
      <w:start w:val="1"/>
      <w:numFmt w:val="lowerLetter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C9A506A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33" w:hanging="4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384EF6E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43" w:hanging="3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6B0C5C0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73" w:hanging="4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EAAE72E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93" w:hanging="4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08E6F5A">
      <w:start w:val="1"/>
      <w:numFmt w:val="lowerRoman"/>
      <w:suff w:val="nothing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48" w:hanging="19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174952E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133" w:hanging="4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90066DE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853" w:hanging="4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0D04944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53" w:hanging="1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35873C6B"/>
    <w:multiLevelType w:val="hybridMultilevel"/>
    <w:tmpl w:val="65D062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62804"/>
    <w:multiLevelType w:val="hybridMultilevel"/>
    <w:tmpl w:val="9C54E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93740"/>
    <w:multiLevelType w:val="hybridMultilevel"/>
    <w:tmpl w:val="17EAF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F32D8"/>
    <w:multiLevelType w:val="hybridMultilevel"/>
    <w:tmpl w:val="9D7AD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66421"/>
    <w:multiLevelType w:val="hybridMultilevel"/>
    <w:tmpl w:val="1DE8B5FE"/>
    <w:lvl w:ilvl="0" w:tplc="8C6EE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F4FCC"/>
    <w:multiLevelType w:val="hybridMultilevel"/>
    <w:tmpl w:val="641A8FD6"/>
    <w:lvl w:ilvl="0" w:tplc="594AE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35076"/>
    <w:multiLevelType w:val="hybridMultilevel"/>
    <w:tmpl w:val="E62E351C"/>
    <w:numStyleLink w:val="Zaimportowanystyl1"/>
  </w:abstractNum>
  <w:abstractNum w:abstractNumId="11" w15:restartNumberingAfterBreak="0">
    <w:nsid w:val="7FC04EA8"/>
    <w:multiLevelType w:val="hybridMultilevel"/>
    <w:tmpl w:val="379CC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1D"/>
    <w:rsid w:val="001145D5"/>
    <w:rsid w:val="001664D7"/>
    <w:rsid w:val="001E6CEB"/>
    <w:rsid w:val="004060C8"/>
    <w:rsid w:val="004D2F6E"/>
    <w:rsid w:val="00543831"/>
    <w:rsid w:val="005612D8"/>
    <w:rsid w:val="00583CD1"/>
    <w:rsid w:val="00780A8F"/>
    <w:rsid w:val="007E321D"/>
    <w:rsid w:val="00816276"/>
    <w:rsid w:val="009458D5"/>
    <w:rsid w:val="009D0C01"/>
    <w:rsid w:val="00AD321D"/>
    <w:rsid w:val="00AD540A"/>
    <w:rsid w:val="00AD6913"/>
    <w:rsid w:val="00C32914"/>
    <w:rsid w:val="00CB402A"/>
    <w:rsid w:val="00D51364"/>
    <w:rsid w:val="00E0139D"/>
    <w:rsid w:val="00E23DE6"/>
    <w:rsid w:val="00E27F54"/>
    <w:rsid w:val="00F11339"/>
    <w:rsid w:val="00F478EF"/>
    <w:rsid w:val="00F9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5854"/>
  <w15:docId w15:val="{6A2E8336-B438-43B7-8986-0AC0EDEA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8EF"/>
    <w:pPr>
      <w:spacing w:after="160" w:line="259" w:lineRule="auto"/>
      <w:ind w:left="720"/>
      <w:contextualSpacing/>
    </w:pPr>
  </w:style>
  <w:style w:type="paragraph" w:customStyle="1" w:styleId="tekst">
    <w:name w:val="tekst"/>
    <w:basedOn w:val="Normalny"/>
    <w:qFormat/>
    <w:rsid w:val="005612D8"/>
    <w:pPr>
      <w:jc w:val="both"/>
    </w:pPr>
    <w:rPr>
      <w:rFonts w:ascii="Calibri" w:eastAsia="Calibri" w:hAnsi="Calibri" w:cs="Calibri"/>
    </w:rPr>
  </w:style>
  <w:style w:type="paragraph" w:customStyle="1" w:styleId="Punkt">
    <w:name w:val="Punkt"/>
    <w:basedOn w:val="Normalny"/>
    <w:next w:val="Normalny"/>
    <w:autoRedefine/>
    <w:qFormat/>
    <w:rsid w:val="005612D8"/>
    <w:pPr>
      <w:keepNext/>
      <w:spacing w:before="240" w:after="0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2D8"/>
    <w:rPr>
      <w:rFonts w:ascii="Segoe UI" w:hAnsi="Segoe UI" w:cs="Segoe UI"/>
      <w:sz w:val="18"/>
      <w:szCs w:val="18"/>
    </w:rPr>
  </w:style>
  <w:style w:type="numbering" w:customStyle="1" w:styleId="Zaimportowanystyl1">
    <w:name w:val="Zaimportowany styl 1"/>
    <w:rsid w:val="00F11339"/>
    <w:pPr>
      <w:numPr>
        <w:numId w:val="10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3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3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Aleksander Rzepecki</cp:lastModifiedBy>
  <cp:revision>2</cp:revision>
  <cp:lastPrinted>2018-01-22T13:19:00Z</cp:lastPrinted>
  <dcterms:created xsi:type="dcterms:W3CDTF">2019-09-27T16:20:00Z</dcterms:created>
  <dcterms:modified xsi:type="dcterms:W3CDTF">2019-09-27T16:20:00Z</dcterms:modified>
</cp:coreProperties>
</file>