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144EB" w14:textId="77777777" w:rsidR="003953B3" w:rsidRPr="002A479B" w:rsidRDefault="003953B3" w:rsidP="002A479B">
      <w:pPr>
        <w:spacing w:after="0"/>
        <w:jc w:val="center"/>
        <w:rPr>
          <w:rFonts w:ascii="Times New Roman" w:hAnsi="Times New Roman"/>
          <w:b/>
          <w:color w:val="000000" w:themeColor="text1"/>
          <w:sz w:val="24"/>
          <w:szCs w:val="24"/>
        </w:rPr>
      </w:pPr>
      <w:r w:rsidRPr="002A479B">
        <w:rPr>
          <w:rFonts w:ascii="Times New Roman" w:hAnsi="Times New Roman"/>
          <w:b/>
          <w:sz w:val="24"/>
          <w:szCs w:val="24"/>
        </w:rPr>
        <w:t xml:space="preserve">Stanowisko </w:t>
      </w:r>
      <w:r w:rsidRPr="002A479B">
        <w:rPr>
          <w:rFonts w:ascii="Times New Roman" w:hAnsi="Times New Roman"/>
          <w:b/>
          <w:color w:val="000000" w:themeColor="text1"/>
          <w:sz w:val="24"/>
          <w:szCs w:val="24"/>
        </w:rPr>
        <w:t>nr 1</w:t>
      </w:r>
    </w:p>
    <w:p w14:paraId="1D1DC7C3" w14:textId="77777777" w:rsidR="003953B3" w:rsidRPr="002A479B" w:rsidRDefault="003953B3" w:rsidP="002A479B">
      <w:pPr>
        <w:spacing w:after="0"/>
        <w:jc w:val="center"/>
        <w:rPr>
          <w:rFonts w:ascii="Times New Roman" w:hAnsi="Times New Roman"/>
          <w:b/>
          <w:sz w:val="24"/>
          <w:szCs w:val="24"/>
        </w:rPr>
      </w:pPr>
      <w:r w:rsidRPr="002A479B">
        <w:rPr>
          <w:rFonts w:ascii="Times New Roman" w:hAnsi="Times New Roman"/>
          <w:b/>
          <w:sz w:val="24"/>
          <w:szCs w:val="24"/>
        </w:rPr>
        <w:t>Okręgowej Rady Adwokackiej w Warszawie</w:t>
      </w:r>
    </w:p>
    <w:p w14:paraId="1A8535E5" w14:textId="605D03C1" w:rsidR="003953B3" w:rsidRPr="002A479B" w:rsidRDefault="003953B3" w:rsidP="002A479B">
      <w:pPr>
        <w:spacing w:after="0"/>
        <w:jc w:val="center"/>
        <w:rPr>
          <w:rFonts w:ascii="Times New Roman" w:eastAsia="Constantia" w:hAnsi="Times New Roman"/>
          <w:b/>
          <w:sz w:val="24"/>
          <w:szCs w:val="24"/>
        </w:rPr>
      </w:pPr>
      <w:r w:rsidRPr="002A479B">
        <w:rPr>
          <w:rFonts w:ascii="Times New Roman" w:hAnsi="Times New Roman"/>
          <w:b/>
          <w:sz w:val="24"/>
          <w:szCs w:val="24"/>
        </w:rPr>
        <w:t xml:space="preserve">z dnia 3 </w:t>
      </w:r>
      <w:r w:rsidR="002A479B" w:rsidRPr="002A479B">
        <w:rPr>
          <w:rFonts w:ascii="Times New Roman" w:hAnsi="Times New Roman"/>
          <w:b/>
          <w:sz w:val="24"/>
          <w:szCs w:val="24"/>
        </w:rPr>
        <w:t>stycznia</w:t>
      </w:r>
      <w:r w:rsidRPr="002A479B">
        <w:rPr>
          <w:rFonts w:ascii="Times New Roman" w:hAnsi="Times New Roman"/>
          <w:b/>
          <w:sz w:val="24"/>
          <w:szCs w:val="24"/>
        </w:rPr>
        <w:t xml:space="preserve"> 201</w:t>
      </w:r>
      <w:r w:rsidR="002A479B" w:rsidRPr="002A479B">
        <w:rPr>
          <w:rFonts w:ascii="Times New Roman" w:hAnsi="Times New Roman"/>
          <w:b/>
          <w:sz w:val="24"/>
          <w:szCs w:val="24"/>
        </w:rPr>
        <w:t>9</w:t>
      </w:r>
      <w:r w:rsidRPr="002A479B">
        <w:rPr>
          <w:rFonts w:ascii="Times New Roman" w:hAnsi="Times New Roman"/>
          <w:b/>
          <w:sz w:val="24"/>
          <w:szCs w:val="24"/>
        </w:rPr>
        <w:t xml:space="preserve"> r.</w:t>
      </w:r>
    </w:p>
    <w:p w14:paraId="2D78EC8D" w14:textId="6B65D9F4" w:rsidR="003953B3" w:rsidRPr="006D4370" w:rsidRDefault="003953B3" w:rsidP="002A479B">
      <w:pPr>
        <w:tabs>
          <w:tab w:val="left" w:pos="5760"/>
        </w:tabs>
        <w:rPr>
          <w:rFonts w:ascii="Times New Roman" w:eastAsia="Constantia" w:hAnsi="Times New Roman"/>
        </w:rPr>
      </w:pPr>
      <w:r w:rsidRPr="006D4370">
        <w:rPr>
          <w:rFonts w:ascii="Times New Roman" w:eastAsia="Constantia" w:hAnsi="Times New Roman"/>
        </w:rPr>
        <w:tab/>
      </w:r>
    </w:p>
    <w:p w14:paraId="1317A455" w14:textId="77777777" w:rsidR="003953B3" w:rsidRPr="002A479B" w:rsidRDefault="003953B3" w:rsidP="003953B3">
      <w:pPr>
        <w:pStyle w:val="Bezodstpw1"/>
        <w:spacing w:line="276" w:lineRule="auto"/>
        <w:jc w:val="both"/>
        <w:rPr>
          <w:rFonts w:ascii="Times New Roman" w:hAnsi="Times New Roman" w:cs="Times New Roman"/>
          <w:b/>
          <w:i/>
          <w:sz w:val="24"/>
          <w:szCs w:val="24"/>
        </w:rPr>
      </w:pPr>
      <w:r w:rsidRPr="002A479B">
        <w:rPr>
          <w:rFonts w:ascii="Times New Roman" w:hAnsi="Times New Roman" w:cs="Times New Roman"/>
          <w:b/>
          <w:i/>
          <w:sz w:val="24"/>
          <w:szCs w:val="24"/>
        </w:rPr>
        <w:t>Okręgowa Rada Adwokacka w Warszawie</w:t>
      </w:r>
    </w:p>
    <w:p w14:paraId="0D0812D2" w14:textId="77777777" w:rsidR="003953B3" w:rsidRPr="002A479B" w:rsidRDefault="003953B3" w:rsidP="003953B3">
      <w:pPr>
        <w:pStyle w:val="Bezodstpw1"/>
        <w:spacing w:line="276" w:lineRule="auto"/>
        <w:jc w:val="both"/>
        <w:rPr>
          <w:rFonts w:ascii="Times New Roman" w:hAnsi="Times New Roman" w:cs="Times New Roman"/>
          <w:b/>
          <w:i/>
          <w:sz w:val="24"/>
          <w:szCs w:val="24"/>
        </w:rPr>
      </w:pPr>
      <w:r w:rsidRPr="002A479B">
        <w:rPr>
          <w:rFonts w:ascii="Times New Roman" w:hAnsi="Times New Roman" w:cs="Times New Roman"/>
          <w:b/>
          <w:i/>
          <w:sz w:val="24"/>
          <w:szCs w:val="24"/>
        </w:rPr>
        <w:t xml:space="preserve">w składzie: </w:t>
      </w:r>
    </w:p>
    <w:p w14:paraId="2651FC39"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Mikołaj Pietrzak – Dziekan</w:t>
      </w:r>
    </w:p>
    <w:p w14:paraId="3245E083"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Zbigniew Banaszczyk</w:t>
      </w:r>
    </w:p>
    <w:p w14:paraId="3DC2D835"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Michał Bieniak</w:t>
      </w:r>
    </w:p>
    <w:p w14:paraId="76ED4231"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Katarzyna Bilewska</w:t>
      </w:r>
    </w:p>
    <w:p w14:paraId="071142F2"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Anna Czepkowska-Rutkowska – Sekretarz</w:t>
      </w:r>
    </w:p>
    <w:p w14:paraId="4A744860"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Katarzyna Gajowni</w:t>
      </w:r>
      <w:bookmarkStart w:id="0" w:name="_GoBack"/>
      <w:bookmarkEnd w:id="0"/>
      <w:r w:rsidRPr="002A479B">
        <w:rPr>
          <w:rFonts w:ascii="Times New Roman" w:hAnsi="Times New Roman"/>
          <w:color w:val="000000" w:themeColor="text1"/>
          <w:sz w:val="24"/>
          <w:szCs w:val="24"/>
        </w:rPr>
        <w:t xml:space="preserve">czek-Pruszyńska </w:t>
      </w:r>
      <w:r w:rsidRPr="002A479B">
        <w:rPr>
          <w:rFonts w:ascii="Times New Roman" w:hAnsi="Times New Roman"/>
          <w:color w:val="000000" w:themeColor="text1"/>
          <w:sz w:val="24"/>
          <w:szCs w:val="24"/>
        </w:rPr>
        <w:sym w:font="Symbol" w:char="F02D"/>
      </w:r>
      <w:r w:rsidRPr="002A479B">
        <w:rPr>
          <w:rFonts w:ascii="Times New Roman" w:hAnsi="Times New Roman"/>
          <w:color w:val="000000" w:themeColor="text1"/>
          <w:sz w:val="24"/>
          <w:szCs w:val="24"/>
        </w:rPr>
        <w:t xml:space="preserve"> Wicedziekan</w:t>
      </w:r>
    </w:p>
    <w:p w14:paraId="08662FC1"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Aleksander Krysztofowicz – Zastępca Sekretarza</w:t>
      </w:r>
    </w:p>
    <w:p w14:paraId="5342C279" w14:textId="4AC6AC82"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 xml:space="preserve">adw. Andrzej Orliński – Wicedziekan </w:t>
      </w:r>
    </w:p>
    <w:p w14:paraId="42D4D569" w14:textId="6ED8552A" w:rsidR="002A479B" w:rsidRPr="002A479B" w:rsidRDefault="002A479B"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Kamil Szmid</w:t>
      </w:r>
    </w:p>
    <w:p w14:paraId="7704F140"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Michał Szpakowski</w:t>
      </w:r>
    </w:p>
    <w:p w14:paraId="13A81B8A" w14:textId="77777777" w:rsidR="003953B3" w:rsidRPr="002A479B" w:rsidRDefault="003953B3" w:rsidP="002A479B">
      <w:pPr>
        <w:pStyle w:val="Akapitzlist"/>
        <w:numPr>
          <w:ilvl w:val="0"/>
          <w:numId w:val="5"/>
        </w:numPr>
        <w:autoSpaceDN w:val="0"/>
        <w:spacing w:after="0" w:line="252" w:lineRule="auto"/>
        <w:ind w:left="714" w:hanging="357"/>
        <w:contextualSpacing w:val="0"/>
        <w:jc w:val="both"/>
        <w:rPr>
          <w:rFonts w:ascii="Times New Roman" w:hAnsi="Times New Roman"/>
          <w:color w:val="000000" w:themeColor="text1"/>
          <w:sz w:val="24"/>
          <w:szCs w:val="24"/>
        </w:rPr>
      </w:pPr>
      <w:r w:rsidRPr="002A479B">
        <w:rPr>
          <w:rFonts w:ascii="Times New Roman" w:hAnsi="Times New Roman"/>
          <w:color w:val="000000" w:themeColor="text1"/>
          <w:sz w:val="24"/>
          <w:szCs w:val="24"/>
        </w:rPr>
        <w:t>adw. Maciej Ślusarek</w:t>
      </w:r>
    </w:p>
    <w:p w14:paraId="33353734" w14:textId="77777777" w:rsidR="003953B3" w:rsidRPr="002A479B" w:rsidRDefault="003953B3" w:rsidP="003953B3">
      <w:pPr>
        <w:autoSpaceDN w:val="0"/>
        <w:jc w:val="both"/>
        <w:rPr>
          <w:rFonts w:ascii="Times New Roman" w:hAnsi="Times New Roman"/>
          <w:b/>
          <w:sz w:val="24"/>
          <w:szCs w:val="24"/>
        </w:rPr>
      </w:pPr>
    </w:p>
    <w:p w14:paraId="081349BE" w14:textId="5B425BB5" w:rsidR="003953B3" w:rsidRDefault="003953B3" w:rsidP="003953B3">
      <w:pPr>
        <w:autoSpaceDN w:val="0"/>
        <w:jc w:val="both"/>
        <w:rPr>
          <w:rFonts w:ascii="Times New Roman" w:hAnsi="Times New Roman"/>
          <w:b/>
          <w:sz w:val="24"/>
          <w:szCs w:val="24"/>
        </w:rPr>
      </w:pPr>
      <w:r w:rsidRPr="002A479B">
        <w:rPr>
          <w:rFonts w:ascii="Times New Roman" w:hAnsi="Times New Roman"/>
          <w:b/>
          <w:sz w:val="24"/>
          <w:szCs w:val="24"/>
        </w:rPr>
        <w:t xml:space="preserve">w trybie obiegowym w dniu 3 </w:t>
      </w:r>
      <w:r w:rsidR="002A479B" w:rsidRPr="002A479B">
        <w:rPr>
          <w:rFonts w:ascii="Times New Roman" w:hAnsi="Times New Roman"/>
          <w:b/>
          <w:sz w:val="24"/>
          <w:szCs w:val="24"/>
        </w:rPr>
        <w:t>stycznia</w:t>
      </w:r>
      <w:r w:rsidRPr="002A479B">
        <w:rPr>
          <w:rFonts w:ascii="Times New Roman" w:hAnsi="Times New Roman"/>
          <w:b/>
          <w:sz w:val="24"/>
          <w:szCs w:val="24"/>
        </w:rPr>
        <w:t xml:space="preserve"> 201</w:t>
      </w:r>
      <w:r w:rsidR="002A479B" w:rsidRPr="002A479B">
        <w:rPr>
          <w:rFonts w:ascii="Times New Roman" w:hAnsi="Times New Roman"/>
          <w:b/>
          <w:sz w:val="24"/>
          <w:szCs w:val="24"/>
        </w:rPr>
        <w:t>9</w:t>
      </w:r>
      <w:r w:rsidRPr="002A479B">
        <w:rPr>
          <w:rFonts w:ascii="Times New Roman" w:hAnsi="Times New Roman"/>
          <w:b/>
          <w:sz w:val="24"/>
          <w:szCs w:val="24"/>
        </w:rPr>
        <w:t xml:space="preserve"> r., podjęła </w:t>
      </w:r>
      <w:r w:rsidR="002A479B" w:rsidRPr="002A479B">
        <w:rPr>
          <w:rFonts w:ascii="Times New Roman" w:hAnsi="Times New Roman"/>
          <w:b/>
          <w:sz w:val="24"/>
          <w:szCs w:val="24"/>
        </w:rPr>
        <w:t xml:space="preserve">jednogłośnie </w:t>
      </w:r>
      <w:r w:rsidRPr="002A479B">
        <w:rPr>
          <w:rFonts w:ascii="Times New Roman" w:hAnsi="Times New Roman"/>
          <w:b/>
          <w:sz w:val="24"/>
          <w:szCs w:val="24"/>
        </w:rPr>
        <w:t>następujące stanowisko:</w:t>
      </w:r>
    </w:p>
    <w:p w14:paraId="4C7316C3" w14:textId="2140408B" w:rsidR="00B60A6B" w:rsidRPr="002A479B" w:rsidRDefault="00B60A6B" w:rsidP="003953B3">
      <w:pPr>
        <w:autoSpaceDN w:val="0"/>
        <w:jc w:val="both"/>
        <w:rPr>
          <w:rFonts w:ascii="Times New Roman" w:hAnsi="Times New Roman"/>
          <w:b/>
          <w:sz w:val="24"/>
          <w:szCs w:val="24"/>
        </w:rPr>
      </w:pPr>
      <w:r>
        <w:rPr>
          <w:rFonts w:ascii="Times New Roman" w:hAnsi="Times New Roman"/>
          <w:b/>
          <w:sz w:val="24"/>
          <w:szCs w:val="24"/>
        </w:rPr>
        <w:t>Okręgowa Rada Adwokacka w Warszawie przyłącza się i przyjmuje jako własne następujące stanowisko:</w:t>
      </w:r>
    </w:p>
    <w:p w14:paraId="008C0DCC" w14:textId="0FCBBBAC" w:rsidR="002A479B" w:rsidRDefault="002A479B" w:rsidP="009944A4">
      <w:pPr>
        <w:spacing w:after="0"/>
        <w:jc w:val="center"/>
        <w:rPr>
          <w:rFonts w:ascii="Times New Roman" w:hAnsi="Times New Roman"/>
          <w:b/>
          <w:sz w:val="24"/>
          <w:szCs w:val="24"/>
        </w:rPr>
      </w:pPr>
    </w:p>
    <w:p w14:paraId="15EB6FC8" w14:textId="77777777" w:rsidR="002A479B" w:rsidRPr="002A479B" w:rsidRDefault="002A479B" w:rsidP="009944A4">
      <w:pPr>
        <w:spacing w:after="0"/>
        <w:jc w:val="center"/>
        <w:rPr>
          <w:rFonts w:ascii="Times New Roman" w:hAnsi="Times New Roman"/>
          <w:b/>
          <w:sz w:val="24"/>
          <w:szCs w:val="24"/>
        </w:rPr>
      </w:pPr>
    </w:p>
    <w:p w14:paraId="208AC4D5" w14:textId="5113D2D5" w:rsidR="009944A4" w:rsidRPr="002A479B" w:rsidRDefault="000A1327" w:rsidP="009944A4">
      <w:pPr>
        <w:spacing w:after="0"/>
        <w:jc w:val="center"/>
        <w:rPr>
          <w:rFonts w:ascii="Times New Roman" w:hAnsi="Times New Roman"/>
          <w:b/>
          <w:sz w:val="24"/>
          <w:szCs w:val="24"/>
        </w:rPr>
      </w:pPr>
      <w:r w:rsidRPr="002A479B">
        <w:rPr>
          <w:rFonts w:ascii="Times New Roman" w:hAnsi="Times New Roman"/>
          <w:b/>
          <w:sz w:val="24"/>
          <w:szCs w:val="24"/>
        </w:rPr>
        <w:t xml:space="preserve">Stanowisko </w:t>
      </w:r>
      <w:r w:rsidR="009944A4" w:rsidRPr="002A479B">
        <w:rPr>
          <w:rFonts w:ascii="Times New Roman" w:hAnsi="Times New Roman"/>
          <w:b/>
          <w:sz w:val="24"/>
          <w:szCs w:val="24"/>
        </w:rPr>
        <w:t xml:space="preserve">Sekcji Prawa i Postępowania Karnego </w:t>
      </w:r>
    </w:p>
    <w:p w14:paraId="06ADD328" w14:textId="77777777" w:rsidR="009944A4" w:rsidRPr="002A479B" w:rsidRDefault="009944A4" w:rsidP="009944A4">
      <w:pPr>
        <w:spacing w:after="0"/>
        <w:jc w:val="center"/>
        <w:rPr>
          <w:rFonts w:ascii="Times New Roman" w:hAnsi="Times New Roman"/>
          <w:b/>
          <w:sz w:val="24"/>
          <w:szCs w:val="24"/>
        </w:rPr>
      </w:pPr>
      <w:r w:rsidRPr="002A479B">
        <w:rPr>
          <w:rFonts w:ascii="Times New Roman" w:hAnsi="Times New Roman"/>
          <w:b/>
          <w:sz w:val="24"/>
          <w:szCs w:val="24"/>
        </w:rPr>
        <w:t xml:space="preserve">przy Okręgowej Radzie Adwokackiej w Warszawie </w:t>
      </w:r>
    </w:p>
    <w:p w14:paraId="558A6CB6" w14:textId="77777777" w:rsidR="000D06AF" w:rsidRPr="002A479B" w:rsidRDefault="009944A4" w:rsidP="009944A4">
      <w:pPr>
        <w:spacing w:after="0"/>
        <w:jc w:val="center"/>
        <w:rPr>
          <w:rFonts w:ascii="Times New Roman" w:hAnsi="Times New Roman"/>
          <w:b/>
          <w:sz w:val="24"/>
          <w:szCs w:val="24"/>
        </w:rPr>
      </w:pPr>
      <w:r w:rsidRPr="002A479B">
        <w:rPr>
          <w:rFonts w:ascii="Times New Roman" w:hAnsi="Times New Roman"/>
          <w:b/>
          <w:sz w:val="24"/>
          <w:szCs w:val="24"/>
        </w:rPr>
        <w:t>do projektu zmian kodeksu postępowania karnego z dnia 4 grudnia 2018 roku</w:t>
      </w:r>
    </w:p>
    <w:p w14:paraId="3A797163" w14:textId="77777777" w:rsidR="009944A4" w:rsidRPr="002A479B" w:rsidRDefault="009944A4">
      <w:pPr>
        <w:rPr>
          <w:rFonts w:ascii="Times New Roman" w:hAnsi="Times New Roman"/>
          <w:sz w:val="24"/>
          <w:szCs w:val="24"/>
        </w:rPr>
      </w:pPr>
    </w:p>
    <w:p w14:paraId="5FFFB2B0" w14:textId="33BA5E98" w:rsidR="009944A4" w:rsidRPr="002A479B" w:rsidRDefault="009944A4" w:rsidP="002A479B">
      <w:pPr>
        <w:spacing w:line="240" w:lineRule="auto"/>
        <w:jc w:val="both"/>
        <w:rPr>
          <w:rFonts w:ascii="Times New Roman" w:hAnsi="Times New Roman"/>
          <w:sz w:val="24"/>
          <w:szCs w:val="24"/>
        </w:rPr>
      </w:pPr>
      <w:r w:rsidRPr="002A479B">
        <w:rPr>
          <w:rFonts w:ascii="Times New Roman" w:hAnsi="Times New Roman"/>
          <w:sz w:val="24"/>
          <w:szCs w:val="24"/>
        </w:rPr>
        <w:t>Jak wynika z uzasadnienia projektu zmian kodeksu postępowania karnego oraz niektórych innych ustaw z dnia 4 grudnia 2018 roku głównym celem projektu jest usprawnienie postępowania karnego, wyeliminowanie dostrzeżonych usterek i błędów legislacyjnych oraz dostosowanie regulacji procesowych do wyzwań wynikających z rozwoju technologicznego. Podkreśla się potrzebę rezygnacji ze zbędnego formalizmu procesowego, wprowadzenia ułatwień dla uczestników postępowania związanych z udziałem w nim, zapobieżenie obstrukcji procesowej stron i szersze zabezpieczenie interesu społecznego w postępowaniu.</w:t>
      </w:r>
      <w:r w:rsidR="00B97303" w:rsidRPr="002A479B">
        <w:rPr>
          <w:rFonts w:ascii="Times New Roman" w:hAnsi="Times New Roman"/>
          <w:sz w:val="24"/>
          <w:szCs w:val="24"/>
        </w:rPr>
        <w:t xml:space="preserve"> </w:t>
      </w:r>
      <w:r w:rsidR="002A479B">
        <w:rPr>
          <w:rFonts w:ascii="Times New Roman" w:hAnsi="Times New Roman"/>
          <w:sz w:val="24"/>
          <w:szCs w:val="24"/>
        </w:rPr>
        <w:br/>
      </w:r>
      <w:r w:rsidR="00B97303" w:rsidRPr="002A479B">
        <w:rPr>
          <w:rFonts w:ascii="Times New Roman" w:hAnsi="Times New Roman"/>
          <w:sz w:val="24"/>
          <w:szCs w:val="24"/>
        </w:rPr>
        <w:t xml:space="preserve">W uzasadnieniu wskazano, że cele te mają zostać zrealizowane przy uwzględnieniu gwarancji procesowych oraz zasad rzetelnego procesu. Wśród zaproponowanych rozwiązań podkreślono znaczenie ograniczenia zasady bezpośredniości na rozprawie głównej. </w:t>
      </w:r>
    </w:p>
    <w:p w14:paraId="6F76EDF7" w14:textId="52DB3A8A" w:rsidR="00375CED" w:rsidRPr="002A479B" w:rsidRDefault="00B97303"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Jakkolwiek cele planowanej reformy procedury karnej są jak najbardziej zasadne, o tyle można mieć wątpliwości co do możliwości ich realizacji poprzez wprowadzenie projektowanych zmian, szczególnie w zakresie najistotniejszych zmian, tj. przepisów regulujących postępowanie dowodowe oraz możliwość prowadzenia rozprawy pod nieobecność oskarżonego. Niezależnie od oceny </w:t>
      </w:r>
      <w:r w:rsidR="00A52BFD" w:rsidRPr="002A479B">
        <w:rPr>
          <w:rFonts w:ascii="Times New Roman" w:hAnsi="Times New Roman"/>
          <w:sz w:val="24"/>
          <w:szCs w:val="24"/>
        </w:rPr>
        <w:t xml:space="preserve">konkretnych </w:t>
      </w:r>
      <w:r w:rsidRPr="002A479B">
        <w:rPr>
          <w:rFonts w:ascii="Times New Roman" w:hAnsi="Times New Roman"/>
          <w:sz w:val="24"/>
          <w:szCs w:val="24"/>
        </w:rPr>
        <w:t>rozwiązań wskazać należy, że pr</w:t>
      </w:r>
      <w:r w:rsidR="00375CED" w:rsidRPr="002A479B">
        <w:rPr>
          <w:rFonts w:ascii="Times New Roman" w:hAnsi="Times New Roman"/>
          <w:sz w:val="24"/>
          <w:szCs w:val="24"/>
        </w:rPr>
        <w:t>o</w:t>
      </w:r>
      <w:r w:rsidRPr="002A479B">
        <w:rPr>
          <w:rFonts w:ascii="Times New Roman" w:hAnsi="Times New Roman"/>
          <w:sz w:val="24"/>
          <w:szCs w:val="24"/>
        </w:rPr>
        <w:t xml:space="preserve">jektodawca </w:t>
      </w:r>
      <w:r w:rsidRPr="002A479B">
        <w:rPr>
          <w:rFonts w:ascii="Times New Roman" w:hAnsi="Times New Roman"/>
          <w:sz w:val="24"/>
          <w:szCs w:val="24"/>
        </w:rPr>
        <w:lastRenderedPageBreak/>
        <w:t xml:space="preserve">wydaje się nie zauważać </w:t>
      </w:r>
      <w:r w:rsidR="00A52BFD" w:rsidRPr="002A479B">
        <w:rPr>
          <w:rFonts w:ascii="Times New Roman" w:hAnsi="Times New Roman"/>
          <w:sz w:val="24"/>
          <w:szCs w:val="24"/>
        </w:rPr>
        <w:t xml:space="preserve">nakładania się na siebie </w:t>
      </w:r>
      <w:r w:rsidR="00375CED" w:rsidRPr="002A479B">
        <w:rPr>
          <w:rFonts w:ascii="Times New Roman" w:hAnsi="Times New Roman"/>
          <w:sz w:val="24"/>
          <w:szCs w:val="24"/>
        </w:rPr>
        <w:t>konsekwencji wprowadzenia</w:t>
      </w:r>
      <w:r w:rsidR="00A52BFD" w:rsidRPr="002A479B">
        <w:rPr>
          <w:rFonts w:ascii="Times New Roman" w:hAnsi="Times New Roman"/>
          <w:sz w:val="24"/>
          <w:szCs w:val="24"/>
        </w:rPr>
        <w:t xml:space="preserve"> poszczególnych zmian</w:t>
      </w:r>
      <w:r w:rsidR="00375CED" w:rsidRPr="002A479B">
        <w:rPr>
          <w:rFonts w:ascii="Times New Roman" w:hAnsi="Times New Roman"/>
          <w:sz w:val="24"/>
          <w:szCs w:val="24"/>
        </w:rPr>
        <w:t>, które znacząco wpływają na utrzymanie standardów przestrzegania gwarancji procesowych. Oczywiście część proponowanych zmian ma charakter techniczny</w:t>
      </w:r>
      <w:r w:rsidR="003D561F" w:rsidRPr="002A479B">
        <w:rPr>
          <w:rFonts w:ascii="Times New Roman" w:hAnsi="Times New Roman"/>
          <w:sz w:val="24"/>
          <w:szCs w:val="24"/>
        </w:rPr>
        <w:t>,</w:t>
      </w:r>
      <w:r w:rsidR="00375CED" w:rsidRPr="002A479B">
        <w:rPr>
          <w:rFonts w:ascii="Times New Roman" w:hAnsi="Times New Roman"/>
          <w:sz w:val="24"/>
          <w:szCs w:val="24"/>
        </w:rPr>
        <w:t xml:space="preserve"> wynikający z braku dostatecznej skrupulatności przy wprowadzaniu wcześniejszych zmian (</w:t>
      </w:r>
      <w:r w:rsidR="00380740" w:rsidRPr="002A479B">
        <w:rPr>
          <w:rFonts w:ascii="Times New Roman" w:hAnsi="Times New Roman"/>
          <w:sz w:val="24"/>
          <w:szCs w:val="24"/>
        </w:rPr>
        <w:t>m.in. art. 504 k.p.k., art. 505 k.p.k.</w:t>
      </w:r>
      <w:r w:rsidR="00375CED" w:rsidRPr="002A479B">
        <w:rPr>
          <w:rFonts w:ascii="Times New Roman" w:hAnsi="Times New Roman"/>
          <w:sz w:val="24"/>
          <w:szCs w:val="24"/>
        </w:rPr>
        <w:t>) czy też związany z przygotowaniem rozprawy</w:t>
      </w:r>
      <w:r w:rsidR="00380740" w:rsidRPr="002A479B">
        <w:rPr>
          <w:rFonts w:ascii="Times New Roman" w:hAnsi="Times New Roman"/>
          <w:sz w:val="24"/>
          <w:szCs w:val="24"/>
        </w:rPr>
        <w:t xml:space="preserve"> czy organizacją przebiegu czynności</w:t>
      </w:r>
      <w:r w:rsidR="00375CED" w:rsidRPr="002A479B">
        <w:rPr>
          <w:rFonts w:ascii="Times New Roman" w:hAnsi="Times New Roman"/>
          <w:sz w:val="24"/>
          <w:szCs w:val="24"/>
        </w:rPr>
        <w:t xml:space="preserve"> (</w:t>
      </w:r>
      <w:r w:rsidR="00380740" w:rsidRPr="002A479B">
        <w:rPr>
          <w:rFonts w:ascii="Times New Roman" w:hAnsi="Times New Roman"/>
          <w:sz w:val="24"/>
          <w:szCs w:val="24"/>
        </w:rPr>
        <w:t>m.in. art. 81a k.p.k., art. 131 - 133 k.p.k., art. 139 k.p.k., at. 148a k.p.k., art. 185 c k.p.k.</w:t>
      </w:r>
      <w:r w:rsidR="00150A3A" w:rsidRPr="002A479B">
        <w:rPr>
          <w:rFonts w:ascii="Times New Roman" w:hAnsi="Times New Roman"/>
          <w:sz w:val="24"/>
          <w:szCs w:val="24"/>
        </w:rPr>
        <w:t>)</w:t>
      </w:r>
      <w:r w:rsidR="00380740" w:rsidRPr="002A479B">
        <w:rPr>
          <w:rFonts w:ascii="Times New Roman" w:hAnsi="Times New Roman"/>
          <w:sz w:val="24"/>
          <w:szCs w:val="24"/>
        </w:rPr>
        <w:t xml:space="preserve"> </w:t>
      </w:r>
      <w:r w:rsidR="00375CED" w:rsidRPr="002A479B">
        <w:rPr>
          <w:rFonts w:ascii="Times New Roman" w:hAnsi="Times New Roman"/>
          <w:sz w:val="24"/>
          <w:szCs w:val="24"/>
        </w:rPr>
        <w:t xml:space="preserve">i nie budzi większych wątpliwości. Niektóre zmiany </w:t>
      </w:r>
      <w:r w:rsidR="00380740" w:rsidRPr="002A479B">
        <w:rPr>
          <w:rFonts w:ascii="Times New Roman" w:hAnsi="Times New Roman"/>
          <w:sz w:val="24"/>
          <w:szCs w:val="24"/>
        </w:rPr>
        <w:t>sklaryfikują</w:t>
      </w:r>
      <w:r w:rsidR="00375CED" w:rsidRPr="002A479B">
        <w:rPr>
          <w:rFonts w:ascii="Times New Roman" w:hAnsi="Times New Roman"/>
          <w:sz w:val="24"/>
          <w:szCs w:val="24"/>
        </w:rPr>
        <w:t xml:space="preserve"> dotychczasową praktykę bądź ją precyzują uwzględniając dotychczasowe rozumienie przepisów i również nie wymagają szerszego komentarza (</w:t>
      </w:r>
      <w:r w:rsidR="00380740" w:rsidRPr="002A479B">
        <w:rPr>
          <w:rFonts w:ascii="Times New Roman" w:hAnsi="Times New Roman"/>
          <w:sz w:val="24"/>
          <w:szCs w:val="24"/>
        </w:rPr>
        <w:t xml:space="preserve">m.in. zmiany </w:t>
      </w:r>
      <w:r w:rsidR="00375CED" w:rsidRPr="002A479B">
        <w:rPr>
          <w:rFonts w:ascii="Times New Roman" w:hAnsi="Times New Roman"/>
          <w:sz w:val="24"/>
          <w:szCs w:val="24"/>
        </w:rPr>
        <w:t>art. 38 §1 k.p.k</w:t>
      </w:r>
      <w:r w:rsidR="00380740" w:rsidRPr="002A479B">
        <w:rPr>
          <w:rFonts w:ascii="Times New Roman" w:hAnsi="Times New Roman"/>
          <w:sz w:val="24"/>
          <w:szCs w:val="24"/>
        </w:rPr>
        <w:t>., art. 95b k.p.k., art. 100 k.p.k.</w:t>
      </w:r>
      <w:r w:rsidR="00375CED" w:rsidRPr="002A479B">
        <w:rPr>
          <w:rFonts w:ascii="Times New Roman" w:hAnsi="Times New Roman"/>
          <w:sz w:val="24"/>
          <w:szCs w:val="24"/>
        </w:rPr>
        <w:t xml:space="preserve">). </w:t>
      </w:r>
    </w:p>
    <w:p w14:paraId="161D77D4" w14:textId="28B93813" w:rsidR="007427BB" w:rsidRPr="002A479B" w:rsidRDefault="00380740"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Wśród projektowanych zmian budzących wątpliwości </w:t>
      </w:r>
      <w:r w:rsidR="00150A3A" w:rsidRPr="002A479B">
        <w:rPr>
          <w:rFonts w:ascii="Times New Roman" w:hAnsi="Times New Roman"/>
          <w:sz w:val="24"/>
          <w:szCs w:val="24"/>
        </w:rPr>
        <w:t xml:space="preserve">i wymagających odniesienia się </w:t>
      </w:r>
      <w:r w:rsidRPr="002A479B">
        <w:rPr>
          <w:rFonts w:ascii="Times New Roman" w:hAnsi="Times New Roman"/>
          <w:sz w:val="24"/>
          <w:szCs w:val="24"/>
        </w:rPr>
        <w:t xml:space="preserve">wyróżnić należy przede wszystkim </w:t>
      </w:r>
      <w:r w:rsidR="00150A3A" w:rsidRPr="002A479B">
        <w:rPr>
          <w:rFonts w:ascii="Times New Roman" w:hAnsi="Times New Roman"/>
          <w:sz w:val="24"/>
          <w:szCs w:val="24"/>
        </w:rPr>
        <w:t xml:space="preserve">zmiany związane z kwestią prowadzenia postępowania dowodowego, obecności oskarżonego na rozprawie głównej, </w:t>
      </w:r>
      <w:r w:rsidR="002B45F9" w:rsidRPr="002A479B">
        <w:rPr>
          <w:rFonts w:ascii="Times New Roman" w:hAnsi="Times New Roman"/>
          <w:sz w:val="24"/>
          <w:szCs w:val="24"/>
        </w:rPr>
        <w:t xml:space="preserve">uprawnień, statusu pokrzywdzonego, </w:t>
      </w:r>
      <w:r w:rsidR="00150A3A" w:rsidRPr="002A479B">
        <w:rPr>
          <w:rFonts w:ascii="Times New Roman" w:hAnsi="Times New Roman"/>
          <w:sz w:val="24"/>
          <w:szCs w:val="24"/>
        </w:rPr>
        <w:t>sporządzania uzasadnień wyroku, podstaw odwoławczych, wytycznych w</w:t>
      </w:r>
      <w:r w:rsidR="002A479B">
        <w:rPr>
          <w:rFonts w:ascii="Times New Roman" w:hAnsi="Times New Roman"/>
          <w:sz w:val="24"/>
          <w:szCs w:val="24"/>
        </w:rPr>
        <w:t> </w:t>
      </w:r>
      <w:r w:rsidR="00150A3A" w:rsidRPr="002A479B">
        <w:rPr>
          <w:rFonts w:ascii="Times New Roman" w:hAnsi="Times New Roman"/>
          <w:sz w:val="24"/>
          <w:szCs w:val="24"/>
        </w:rPr>
        <w:t xml:space="preserve">przypadku uchylenia zaskarżonego wyroku, zmian zasady </w:t>
      </w:r>
      <w:proofErr w:type="spellStart"/>
      <w:r w:rsidR="00150A3A" w:rsidRPr="002A479B">
        <w:rPr>
          <w:rFonts w:ascii="Times New Roman" w:hAnsi="Times New Roman"/>
          <w:i/>
          <w:sz w:val="24"/>
          <w:szCs w:val="24"/>
        </w:rPr>
        <w:t>ne</w:t>
      </w:r>
      <w:proofErr w:type="spellEnd"/>
      <w:r w:rsidR="00150A3A" w:rsidRPr="002A479B">
        <w:rPr>
          <w:rFonts w:ascii="Times New Roman" w:hAnsi="Times New Roman"/>
          <w:i/>
          <w:sz w:val="24"/>
          <w:szCs w:val="24"/>
        </w:rPr>
        <w:t xml:space="preserve"> </w:t>
      </w:r>
      <w:proofErr w:type="spellStart"/>
      <w:r w:rsidR="00150A3A" w:rsidRPr="002A479B">
        <w:rPr>
          <w:rFonts w:ascii="Times New Roman" w:hAnsi="Times New Roman"/>
          <w:i/>
          <w:sz w:val="24"/>
          <w:szCs w:val="24"/>
        </w:rPr>
        <w:t>peius</w:t>
      </w:r>
      <w:proofErr w:type="spellEnd"/>
      <w:r w:rsidR="004E2A01" w:rsidRPr="002A479B">
        <w:rPr>
          <w:rFonts w:ascii="Times New Roman" w:hAnsi="Times New Roman"/>
          <w:sz w:val="24"/>
          <w:szCs w:val="24"/>
        </w:rPr>
        <w:t xml:space="preserve"> oraz przepisów intertemporalnych dotyczących wprowadzenia ewentualnych zmian.</w:t>
      </w:r>
    </w:p>
    <w:p w14:paraId="32E123EB" w14:textId="77777777" w:rsidR="00150A3A" w:rsidRPr="002A479B" w:rsidRDefault="00150A3A" w:rsidP="002A479B">
      <w:pPr>
        <w:pStyle w:val="Akapitzlist"/>
        <w:numPr>
          <w:ilvl w:val="0"/>
          <w:numId w:val="3"/>
        </w:numPr>
        <w:spacing w:line="240" w:lineRule="auto"/>
        <w:jc w:val="both"/>
        <w:rPr>
          <w:rFonts w:ascii="Times New Roman" w:hAnsi="Times New Roman"/>
          <w:b/>
          <w:sz w:val="24"/>
          <w:szCs w:val="24"/>
        </w:rPr>
      </w:pPr>
      <w:r w:rsidRPr="002A479B">
        <w:rPr>
          <w:rFonts w:ascii="Times New Roman" w:hAnsi="Times New Roman"/>
          <w:b/>
          <w:sz w:val="24"/>
          <w:szCs w:val="24"/>
        </w:rPr>
        <w:t xml:space="preserve">Zmiany dotyczące postępowanie dowodowego. </w:t>
      </w:r>
    </w:p>
    <w:p w14:paraId="47F08C49" w14:textId="53AE0EA9" w:rsidR="00AD087D" w:rsidRPr="002A479B" w:rsidRDefault="003F5EBF" w:rsidP="002A479B">
      <w:pPr>
        <w:spacing w:line="240" w:lineRule="auto"/>
        <w:jc w:val="both"/>
        <w:rPr>
          <w:rFonts w:ascii="Times New Roman" w:hAnsi="Times New Roman"/>
          <w:sz w:val="24"/>
          <w:szCs w:val="24"/>
        </w:rPr>
      </w:pPr>
      <w:r w:rsidRPr="002A479B">
        <w:rPr>
          <w:rFonts w:ascii="Times New Roman" w:hAnsi="Times New Roman"/>
          <w:sz w:val="24"/>
          <w:szCs w:val="24"/>
        </w:rPr>
        <w:t>W polskim procesie karnym ugruntowane znaczenie zajmuje zasada prawy materialnej, w</w:t>
      </w:r>
      <w:r w:rsidR="002A479B">
        <w:rPr>
          <w:rFonts w:ascii="Times New Roman" w:hAnsi="Times New Roman"/>
          <w:sz w:val="24"/>
          <w:szCs w:val="24"/>
        </w:rPr>
        <w:t> </w:t>
      </w:r>
      <w:r w:rsidRPr="002A479B">
        <w:rPr>
          <w:rFonts w:ascii="Times New Roman" w:hAnsi="Times New Roman"/>
          <w:sz w:val="24"/>
          <w:szCs w:val="24"/>
        </w:rPr>
        <w:t xml:space="preserve">doktrynie określana często naczelną zasadą procesu karnego. </w:t>
      </w:r>
      <w:r w:rsidR="00927238" w:rsidRPr="002A479B">
        <w:rPr>
          <w:rFonts w:ascii="Times New Roman" w:hAnsi="Times New Roman"/>
          <w:sz w:val="24"/>
          <w:szCs w:val="24"/>
        </w:rPr>
        <w:t>To pełniejsz</w:t>
      </w:r>
      <w:r w:rsidR="00314606" w:rsidRPr="002A479B">
        <w:rPr>
          <w:rFonts w:ascii="Times New Roman" w:hAnsi="Times New Roman"/>
          <w:sz w:val="24"/>
          <w:szCs w:val="24"/>
        </w:rPr>
        <w:t>ą</w:t>
      </w:r>
      <w:r w:rsidR="00927238" w:rsidRPr="002A479B">
        <w:rPr>
          <w:rFonts w:ascii="Times New Roman" w:hAnsi="Times New Roman"/>
          <w:sz w:val="24"/>
          <w:szCs w:val="24"/>
        </w:rPr>
        <w:t xml:space="preserve"> realizacją tej zasady Ustawodawca tłumaczył ponowne ograniczenie zasady kontradyktoryjności rozprawy</w:t>
      </w:r>
      <w:r w:rsidR="00F13AB1" w:rsidRPr="002A479B">
        <w:rPr>
          <w:rFonts w:ascii="Times New Roman" w:hAnsi="Times New Roman"/>
          <w:sz w:val="24"/>
          <w:szCs w:val="24"/>
        </w:rPr>
        <w:t xml:space="preserve"> głównej, dokonane ustawą z dn. 11  marca 2016 r. o zmianie ustawy - Kodeks postępowania karnego oraz niektórych innych ustaw (Dz.U.2016.437 z dnia 2016.04.01).</w:t>
      </w:r>
      <w:r w:rsidR="00840927" w:rsidRPr="002A479B">
        <w:rPr>
          <w:rFonts w:ascii="Times New Roman" w:hAnsi="Times New Roman"/>
          <w:sz w:val="24"/>
          <w:szCs w:val="24"/>
        </w:rPr>
        <w:t xml:space="preserve"> Tymczasem, w</w:t>
      </w:r>
      <w:r w:rsidR="002A479B">
        <w:rPr>
          <w:rFonts w:ascii="Times New Roman" w:hAnsi="Times New Roman"/>
          <w:sz w:val="24"/>
          <w:szCs w:val="24"/>
        </w:rPr>
        <w:t> </w:t>
      </w:r>
      <w:r w:rsidR="00840927" w:rsidRPr="002A479B">
        <w:rPr>
          <w:rFonts w:ascii="Times New Roman" w:hAnsi="Times New Roman"/>
          <w:sz w:val="24"/>
          <w:szCs w:val="24"/>
        </w:rPr>
        <w:t xml:space="preserve">opiniowanym projekcie </w:t>
      </w:r>
      <w:r w:rsidR="00314606" w:rsidRPr="002A479B">
        <w:rPr>
          <w:rFonts w:ascii="Times New Roman" w:hAnsi="Times New Roman"/>
          <w:sz w:val="24"/>
          <w:szCs w:val="24"/>
        </w:rPr>
        <w:t>wskazać</w:t>
      </w:r>
      <w:r w:rsidR="00840927" w:rsidRPr="002A479B">
        <w:rPr>
          <w:rFonts w:ascii="Times New Roman" w:hAnsi="Times New Roman"/>
          <w:sz w:val="24"/>
          <w:szCs w:val="24"/>
        </w:rPr>
        <w:t xml:space="preserve"> należy szereg zmian, które zmierzać mogą do częściowego unicestwienia zasady prawdy materialnej. Zgodnie z projektowanym </w:t>
      </w:r>
      <w:r w:rsidR="00466823" w:rsidRPr="002A479B">
        <w:rPr>
          <w:rFonts w:ascii="Times New Roman" w:hAnsi="Times New Roman"/>
          <w:sz w:val="24"/>
          <w:szCs w:val="24"/>
        </w:rPr>
        <w:t>art. 170 k.p.k.</w:t>
      </w:r>
      <w:r w:rsidR="00314606" w:rsidRPr="002A479B">
        <w:rPr>
          <w:rFonts w:ascii="Times New Roman" w:hAnsi="Times New Roman"/>
          <w:sz w:val="24"/>
          <w:szCs w:val="24"/>
        </w:rPr>
        <w:t xml:space="preserve"> § 1 pkt. 6.</w:t>
      </w:r>
      <w:r w:rsidR="00466823" w:rsidRPr="002A479B">
        <w:rPr>
          <w:rFonts w:ascii="Times New Roman" w:hAnsi="Times New Roman"/>
          <w:sz w:val="24"/>
          <w:szCs w:val="24"/>
        </w:rPr>
        <w:t xml:space="preserve">, wprowadzona ma zostać kolejna podstawa oddalenia wniosku dowodowego, przewidująca możliwość jego oddalenia w sytuacji, gdy wniosek dowodowy zostanie </w:t>
      </w:r>
      <w:r w:rsidR="00314606" w:rsidRPr="002A479B">
        <w:rPr>
          <w:rFonts w:ascii="Times New Roman" w:hAnsi="Times New Roman"/>
          <w:sz w:val="24"/>
          <w:szCs w:val="24"/>
        </w:rPr>
        <w:t>zgłoszony</w:t>
      </w:r>
      <w:r w:rsidR="00466823" w:rsidRPr="002A479B">
        <w:rPr>
          <w:rFonts w:ascii="Times New Roman" w:hAnsi="Times New Roman"/>
          <w:sz w:val="24"/>
          <w:szCs w:val="24"/>
        </w:rPr>
        <w:t xml:space="preserve"> po terminie zakreślonym przez organ procesowy na jego złożenie. </w:t>
      </w:r>
      <w:r w:rsidR="00B65481" w:rsidRPr="002A479B">
        <w:rPr>
          <w:rFonts w:ascii="Times New Roman" w:hAnsi="Times New Roman"/>
          <w:sz w:val="24"/>
          <w:szCs w:val="24"/>
        </w:rPr>
        <w:t xml:space="preserve">Jednocześnie, w  projekcie przewidziane są sytuacje, które wyłączają możliwość oddalenia wniosku dowodowego na podstawie art. 170 § 1 pkt 5 i 6 k.p.k., </w:t>
      </w:r>
      <w:bookmarkStart w:id="1" w:name="_Hlk533034173"/>
      <w:r w:rsidR="00B65481" w:rsidRPr="002A479B">
        <w:rPr>
          <w:rFonts w:ascii="Times New Roman" w:hAnsi="Times New Roman"/>
          <w:sz w:val="24"/>
          <w:szCs w:val="24"/>
        </w:rPr>
        <w:t>jeżeli okoliczność, która ma być udowodniona, ma istotne znaczenie dla ustalenia, czy został popełniony czyn zabroniony, czy stanowi on przestępstwo i jakie, czy czyn zabroniony został popełniony w warunkach, o których mowa w art. 64 lub 65 Kodeksu karnego lub czy zachodzą warunki do orzeczenia pobytu w zakładzie</w:t>
      </w:r>
      <w:r w:rsidR="00A809A0" w:rsidRPr="002A479B">
        <w:rPr>
          <w:rFonts w:ascii="Times New Roman" w:hAnsi="Times New Roman"/>
          <w:sz w:val="24"/>
          <w:szCs w:val="24"/>
        </w:rPr>
        <w:t xml:space="preserve"> </w:t>
      </w:r>
      <w:r w:rsidR="00B65481" w:rsidRPr="002A479B">
        <w:rPr>
          <w:rFonts w:ascii="Times New Roman" w:hAnsi="Times New Roman"/>
          <w:sz w:val="24"/>
          <w:szCs w:val="24"/>
        </w:rPr>
        <w:t>psychiatrycznym na podstawie art. 93g Kodeksu karnego</w:t>
      </w:r>
      <w:r w:rsidR="00A809A0" w:rsidRPr="002A479B">
        <w:rPr>
          <w:rFonts w:ascii="Times New Roman" w:hAnsi="Times New Roman"/>
          <w:sz w:val="24"/>
          <w:szCs w:val="24"/>
        </w:rPr>
        <w:t>.</w:t>
      </w:r>
      <w:bookmarkEnd w:id="1"/>
      <w:r w:rsidR="00A809A0" w:rsidRPr="002A479B">
        <w:rPr>
          <w:rFonts w:ascii="Times New Roman" w:hAnsi="Times New Roman"/>
          <w:sz w:val="24"/>
          <w:szCs w:val="24"/>
        </w:rPr>
        <w:t xml:space="preserve"> Jednocześnie, Projektodawca nie planuje modyfikacji art. 2 § 2 k.p.k. – zasady prawdy materialnej</w:t>
      </w:r>
      <w:r w:rsidR="00A01ED0" w:rsidRPr="002A479B">
        <w:rPr>
          <w:rFonts w:ascii="Times New Roman" w:hAnsi="Times New Roman"/>
          <w:i/>
          <w:sz w:val="24"/>
          <w:szCs w:val="24"/>
        </w:rPr>
        <w:t>,</w:t>
      </w:r>
      <w:r w:rsidR="00A809A0" w:rsidRPr="002A479B">
        <w:rPr>
          <w:rFonts w:ascii="Times New Roman" w:hAnsi="Times New Roman"/>
          <w:sz w:val="24"/>
          <w:szCs w:val="24"/>
        </w:rPr>
        <w:t xml:space="preserve"> art. </w:t>
      </w:r>
      <w:r w:rsidR="0000328C" w:rsidRPr="002A479B">
        <w:rPr>
          <w:rFonts w:ascii="Times New Roman" w:hAnsi="Times New Roman"/>
          <w:sz w:val="24"/>
          <w:szCs w:val="24"/>
        </w:rPr>
        <w:t xml:space="preserve">369 k.p.k. – </w:t>
      </w:r>
      <w:r w:rsidR="00A01ED0" w:rsidRPr="002A479B">
        <w:rPr>
          <w:rFonts w:ascii="Times New Roman" w:hAnsi="Times New Roman"/>
          <w:sz w:val="24"/>
          <w:szCs w:val="24"/>
        </w:rPr>
        <w:t xml:space="preserve">dyrektywy </w:t>
      </w:r>
      <w:r w:rsidR="0000328C" w:rsidRPr="002A479B">
        <w:rPr>
          <w:rFonts w:ascii="Times New Roman" w:hAnsi="Times New Roman"/>
          <w:sz w:val="24"/>
          <w:szCs w:val="24"/>
        </w:rPr>
        <w:t>prowadzeni</w:t>
      </w:r>
      <w:r w:rsidR="00A01ED0" w:rsidRPr="002A479B">
        <w:rPr>
          <w:rFonts w:ascii="Times New Roman" w:hAnsi="Times New Roman"/>
          <w:sz w:val="24"/>
          <w:szCs w:val="24"/>
        </w:rPr>
        <w:t>a</w:t>
      </w:r>
      <w:r w:rsidR="0000328C" w:rsidRPr="002A479B">
        <w:rPr>
          <w:rFonts w:ascii="Times New Roman" w:hAnsi="Times New Roman"/>
          <w:sz w:val="24"/>
          <w:szCs w:val="24"/>
        </w:rPr>
        <w:t xml:space="preserve"> dowodów oskarżenia przed dowodami obrony, art. 405 k.p.k. </w:t>
      </w:r>
      <w:r w:rsidR="00AD087D" w:rsidRPr="002A479B">
        <w:rPr>
          <w:rFonts w:ascii="Times New Roman" w:hAnsi="Times New Roman"/>
          <w:sz w:val="24"/>
          <w:szCs w:val="24"/>
        </w:rPr>
        <w:t>w zakresie, w jakim wymaga on od przewodniczącego składu orzekającego zapytania stron przed zamknięciem przewodu sądowego, czy wnoszą o</w:t>
      </w:r>
      <w:r w:rsidR="002A479B">
        <w:rPr>
          <w:rFonts w:ascii="Times New Roman" w:hAnsi="Times New Roman"/>
          <w:sz w:val="24"/>
          <w:szCs w:val="24"/>
        </w:rPr>
        <w:t> </w:t>
      </w:r>
      <w:r w:rsidR="00AD087D" w:rsidRPr="002A479B">
        <w:rPr>
          <w:rFonts w:ascii="Times New Roman" w:hAnsi="Times New Roman"/>
          <w:sz w:val="24"/>
          <w:szCs w:val="24"/>
        </w:rPr>
        <w:t xml:space="preserve">uzupełnienie postępowania dowodowego. </w:t>
      </w:r>
      <w:r w:rsidR="006D37D7" w:rsidRPr="002A479B">
        <w:rPr>
          <w:rFonts w:ascii="Times New Roman" w:hAnsi="Times New Roman"/>
          <w:sz w:val="24"/>
          <w:szCs w:val="24"/>
        </w:rPr>
        <w:t xml:space="preserve">Modyfikację art. 170 § 1 k.p.k., poprzez dodanie do niego punktu 6., należy ocenić jako zbędną i niezgodną z podstawowymi zasadami postępowania karnego. </w:t>
      </w:r>
      <w:r w:rsidR="008C534F" w:rsidRPr="002A479B">
        <w:rPr>
          <w:rFonts w:ascii="Times New Roman" w:hAnsi="Times New Roman"/>
          <w:sz w:val="24"/>
          <w:szCs w:val="24"/>
        </w:rPr>
        <w:t>J</w:t>
      </w:r>
      <w:r w:rsidR="006D37D7" w:rsidRPr="002A479B">
        <w:rPr>
          <w:rFonts w:ascii="Times New Roman" w:hAnsi="Times New Roman"/>
          <w:sz w:val="24"/>
          <w:szCs w:val="24"/>
        </w:rPr>
        <w:t>uż dziś w  świetle obowiązujących przepisów organy procesowe mają możliwość oddalenia wniosku dowodowego, którego głównym zadaniem jest opóźnianie procesu</w:t>
      </w:r>
      <w:r w:rsidR="0085445D" w:rsidRPr="002A479B">
        <w:rPr>
          <w:rFonts w:ascii="Times New Roman" w:hAnsi="Times New Roman"/>
          <w:sz w:val="24"/>
          <w:szCs w:val="24"/>
        </w:rPr>
        <w:t xml:space="preserve">, na mocy art. 170 § 1 pkt 5 k.p.k., wprowadzonego do k.p.k. „dużą nowelą” z 2003 r. </w:t>
      </w:r>
      <w:r w:rsidR="003B4103" w:rsidRPr="002A479B">
        <w:rPr>
          <w:rFonts w:ascii="Times New Roman" w:hAnsi="Times New Roman"/>
          <w:sz w:val="24"/>
          <w:szCs w:val="24"/>
        </w:rPr>
        <w:t xml:space="preserve">Nowela ta skutecznie zmobilizowała uczestników procesu do przejawiania większej lojalności procesowej i wcześniejszego składania wniosków dowodowych, jednocześnie nie nakładając zbytniego formalizmu i prekluzji dowodowej (nieznanej dotychczas polskiemu procesowi karnemu w postępowaniu przed sądem pierwszej instancji), pozwalając organom procesowym zadecydować, czy wniosek dowodowy ma znaczenie dla rozstrzygnięcia, czy wyłącznie zmierza do przedłużenia postępowania. Wskazać także należy, że projektowany art. 170 § 1a k.p.k. w istocie </w:t>
      </w:r>
      <w:r w:rsidR="00BF00B1" w:rsidRPr="002A479B">
        <w:rPr>
          <w:rFonts w:ascii="Times New Roman" w:hAnsi="Times New Roman"/>
          <w:sz w:val="24"/>
          <w:szCs w:val="24"/>
        </w:rPr>
        <w:t>pozbawia sensu projektowany art. 170 § 1 pkt 6 k.p.k., jako że każdy istotny z</w:t>
      </w:r>
      <w:r w:rsidR="002A479B">
        <w:rPr>
          <w:rFonts w:ascii="Times New Roman" w:hAnsi="Times New Roman"/>
          <w:sz w:val="24"/>
          <w:szCs w:val="24"/>
        </w:rPr>
        <w:t> </w:t>
      </w:r>
      <w:r w:rsidR="00BF00B1" w:rsidRPr="002A479B">
        <w:rPr>
          <w:rFonts w:ascii="Times New Roman" w:hAnsi="Times New Roman"/>
          <w:sz w:val="24"/>
          <w:szCs w:val="24"/>
        </w:rPr>
        <w:t xml:space="preserve">punktu widzenia rozstrzygnięcia dowód zmierza do ustalenia, czy zostało popełnione </w:t>
      </w:r>
      <w:r w:rsidR="00BF00B1" w:rsidRPr="002A479B">
        <w:rPr>
          <w:rFonts w:ascii="Times New Roman" w:hAnsi="Times New Roman"/>
          <w:sz w:val="24"/>
          <w:szCs w:val="24"/>
        </w:rPr>
        <w:lastRenderedPageBreak/>
        <w:t>przestępstwo i jakie. W praktyce zatem, z dużym prawdopodobieństwem okazać się może, że projektowany art. 170 § 1 pkt 6 k.p.k. okaże się przepisem martwym</w:t>
      </w:r>
      <w:r w:rsidR="006D1F70" w:rsidRPr="002A479B">
        <w:rPr>
          <w:rFonts w:ascii="Times New Roman" w:hAnsi="Times New Roman"/>
          <w:sz w:val="24"/>
          <w:szCs w:val="24"/>
        </w:rPr>
        <w:t>.</w:t>
      </w:r>
    </w:p>
    <w:p w14:paraId="3581A996" w14:textId="6387A2EC" w:rsidR="00A01ED0" w:rsidRPr="002A479B" w:rsidRDefault="006D1F70" w:rsidP="002A479B">
      <w:pPr>
        <w:spacing w:line="240" w:lineRule="auto"/>
        <w:jc w:val="both"/>
        <w:rPr>
          <w:rFonts w:ascii="Times New Roman" w:hAnsi="Times New Roman"/>
          <w:sz w:val="24"/>
          <w:szCs w:val="24"/>
        </w:rPr>
      </w:pPr>
      <w:r w:rsidRPr="002A479B">
        <w:rPr>
          <w:rFonts w:ascii="Times New Roman" w:hAnsi="Times New Roman"/>
          <w:sz w:val="24"/>
          <w:szCs w:val="24"/>
        </w:rPr>
        <w:t>Nie sposób zaaprobować – z punktu widzenia konstytucyjnego prawa do obrony – projektowanej nowelizacji art. 185</w:t>
      </w:r>
      <w:r w:rsidR="002434FE" w:rsidRPr="002A479B">
        <w:rPr>
          <w:rFonts w:ascii="Times New Roman" w:hAnsi="Times New Roman"/>
          <w:sz w:val="24"/>
          <w:szCs w:val="24"/>
        </w:rPr>
        <w:t>a § 2 k.p.k., pozbawiającego prokuratora, obrońcę i</w:t>
      </w:r>
      <w:r w:rsidR="002A479B">
        <w:rPr>
          <w:rFonts w:ascii="Times New Roman" w:hAnsi="Times New Roman"/>
          <w:sz w:val="24"/>
          <w:szCs w:val="24"/>
        </w:rPr>
        <w:t> </w:t>
      </w:r>
      <w:r w:rsidR="002434FE" w:rsidRPr="002A479B">
        <w:rPr>
          <w:rFonts w:ascii="Times New Roman" w:hAnsi="Times New Roman"/>
          <w:sz w:val="24"/>
          <w:szCs w:val="24"/>
        </w:rPr>
        <w:t xml:space="preserve">pełnomocnika pokrzywdzonego prawa wzięcia udziału w posiedzeniu, na którym przesłuchiwany ma być w charakterze świadka pokrzywdzony przestępstwem z rozdziałów XXIII, XXV czy XXVI Kodeksu karnego. </w:t>
      </w:r>
      <w:r w:rsidR="001E26AA" w:rsidRPr="002A479B">
        <w:rPr>
          <w:rFonts w:ascii="Times New Roman" w:hAnsi="Times New Roman"/>
          <w:sz w:val="24"/>
          <w:szCs w:val="24"/>
        </w:rPr>
        <w:t>W uzasadnieniu projektu czytamy, że wprowadza on 14-dniowy termin instrukcyjny na przesłuchanie małoletniego pokrzywdzonego, mając w</w:t>
      </w:r>
      <w:r w:rsidR="002A479B">
        <w:rPr>
          <w:rFonts w:ascii="Times New Roman" w:hAnsi="Times New Roman"/>
          <w:sz w:val="24"/>
          <w:szCs w:val="24"/>
        </w:rPr>
        <w:t> </w:t>
      </w:r>
      <w:r w:rsidR="001E26AA" w:rsidRPr="002A479B">
        <w:rPr>
          <w:rFonts w:ascii="Times New Roman" w:hAnsi="Times New Roman"/>
          <w:sz w:val="24"/>
          <w:szCs w:val="24"/>
        </w:rPr>
        <w:t>ten sposób maksymalnie zredukować jego traumatyczne przeżycia i dyskomfort psychiczny. Pozbawienie obrońcy prawa do udziału w – często jedynym w sprawie, zgodnie z art. 185a § 1 k.p.k. – przesłuchaniu pokrzywdzonego musi</w:t>
      </w:r>
      <w:r w:rsidR="006B37C6" w:rsidRPr="002A479B">
        <w:rPr>
          <w:rFonts w:ascii="Times New Roman" w:hAnsi="Times New Roman"/>
          <w:sz w:val="24"/>
          <w:szCs w:val="24"/>
        </w:rPr>
        <w:t xml:space="preserve"> – o czym milczy uzasadnienie projektu – prowadzić do wniosku o rażącej niezgodności tego przepisu z treścią art. 42 ust. 2 Konstytucji RP. Nie sposób bowiem mówić o zapewnieniu prawa do obrony, gdy strona bierna procesu karnego</w:t>
      </w:r>
      <w:r w:rsidR="00E123DB" w:rsidRPr="002A479B">
        <w:rPr>
          <w:rFonts w:ascii="Times New Roman" w:hAnsi="Times New Roman"/>
          <w:sz w:val="24"/>
          <w:szCs w:val="24"/>
        </w:rPr>
        <w:t xml:space="preserve"> pozbawiona zostaje możliwości – choćby ustami swojego pomocnika procesowego, jakim jest obrońca – zadania pytania głównemu świadkowi oskarżenia – pokrzywdzonemu. Oczywistym jest oczekiwanie, by w procesie karnym wprowadzone zostały rozwiązania mające zminimalizować traumę pokrzywdzonych, lecz nie może to odbywać się kosztem zupełnego pozbawienia oskarżonego (podejrzanego) prawa do obrony</w:t>
      </w:r>
      <w:r w:rsidR="006746AD" w:rsidRPr="002A479B">
        <w:rPr>
          <w:rFonts w:ascii="Times New Roman" w:hAnsi="Times New Roman"/>
          <w:sz w:val="24"/>
          <w:szCs w:val="24"/>
        </w:rPr>
        <w:t xml:space="preserve">. </w:t>
      </w:r>
      <w:r w:rsidR="00AF7487" w:rsidRPr="002A479B">
        <w:rPr>
          <w:rFonts w:ascii="Times New Roman" w:hAnsi="Times New Roman"/>
          <w:sz w:val="24"/>
          <w:szCs w:val="24"/>
        </w:rPr>
        <w:t>Z</w:t>
      </w:r>
      <w:r w:rsidR="006746AD" w:rsidRPr="002A479B">
        <w:rPr>
          <w:rFonts w:ascii="Times New Roman" w:hAnsi="Times New Roman"/>
          <w:sz w:val="24"/>
          <w:szCs w:val="24"/>
        </w:rPr>
        <w:t xml:space="preserve">godnie z art. 2 § 1 pkt 1 k.p.k., jednym z celów postępowania karnego jest to, by osoba niewinna nie poniosła odpowiedzialności karnej. Jest to cel postępowania </w:t>
      </w:r>
      <w:r w:rsidR="006746AD" w:rsidRPr="002A479B">
        <w:rPr>
          <w:rFonts w:ascii="Times New Roman" w:hAnsi="Times New Roman"/>
          <w:b/>
          <w:sz w:val="24"/>
          <w:szCs w:val="24"/>
        </w:rPr>
        <w:t xml:space="preserve">nadrzędny </w:t>
      </w:r>
      <w:r w:rsidR="006746AD" w:rsidRPr="002A479B">
        <w:rPr>
          <w:rFonts w:ascii="Times New Roman" w:hAnsi="Times New Roman"/>
          <w:sz w:val="24"/>
          <w:szCs w:val="24"/>
        </w:rPr>
        <w:t>w stosunku to interesu pokrzywdzonego, o którym mowa w art. 2 § 1 pkt 3 k.p.k.</w:t>
      </w:r>
      <w:r w:rsidR="00427D0B" w:rsidRPr="002A479B">
        <w:rPr>
          <w:rFonts w:ascii="Times New Roman" w:hAnsi="Times New Roman"/>
          <w:sz w:val="24"/>
          <w:szCs w:val="24"/>
        </w:rPr>
        <w:t xml:space="preserve"> Wiek pokrzywdzonego </w:t>
      </w:r>
      <w:r w:rsidR="004426E5" w:rsidRPr="002A479B">
        <w:rPr>
          <w:rFonts w:ascii="Times New Roman" w:hAnsi="Times New Roman"/>
          <w:sz w:val="24"/>
          <w:szCs w:val="24"/>
        </w:rPr>
        <w:t>(</w:t>
      </w:r>
      <w:r w:rsidR="004426E5" w:rsidRPr="002A479B">
        <w:rPr>
          <w:rFonts w:ascii="Times New Roman" w:hAnsi="Times New Roman"/>
          <w:i/>
          <w:sz w:val="24"/>
          <w:szCs w:val="24"/>
        </w:rPr>
        <w:t xml:space="preserve">vide </w:t>
      </w:r>
      <w:r w:rsidR="004426E5" w:rsidRPr="002A479B">
        <w:rPr>
          <w:rFonts w:ascii="Times New Roman" w:hAnsi="Times New Roman"/>
          <w:sz w:val="24"/>
          <w:szCs w:val="24"/>
        </w:rPr>
        <w:t xml:space="preserve">projektowany art. 185c § 2 oraz art. 185a § 2 k.p.k.) nie może stanowić przesłanki do tak istotnego ograniczenia prawa do obrony oskarżonego. Dodatkowo, wskazać należy, że brak udziału obrońcy w posiedzeniu na podstawie art. 185a § 1 k.p.k. może ponownie </w:t>
      </w:r>
      <w:proofErr w:type="spellStart"/>
      <w:r w:rsidR="004426E5" w:rsidRPr="002A479B">
        <w:rPr>
          <w:rFonts w:ascii="Times New Roman" w:hAnsi="Times New Roman"/>
          <w:sz w:val="24"/>
          <w:szCs w:val="24"/>
        </w:rPr>
        <w:t>traumatyzować</w:t>
      </w:r>
      <w:proofErr w:type="spellEnd"/>
      <w:r w:rsidR="004426E5" w:rsidRPr="002A479B">
        <w:rPr>
          <w:rFonts w:ascii="Times New Roman" w:hAnsi="Times New Roman"/>
          <w:sz w:val="24"/>
          <w:szCs w:val="24"/>
        </w:rPr>
        <w:t xml:space="preserve"> pokrzywdzonego, gdy w toku postępowania sądowego okaże się – na skutek argumentacji obrończej – że niezbędne będzie ponowne jego przesłuchanie</w:t>
      </w:r>
      <w:r w:rsidR="001158FC" w:rsidRPr="002A479B">
        <w:rPr>
          <w:rFonts w:ascii="Times New Roman" w:hAnsi="Times New Roman"/>
          <w:sz w:val="24"/>
          <w:szCs w:val="24"/>
        </w:rPr>
        <w:t>, czego w wielu wypadkach da się uniknąć, jeśli obrońca będzie mógł uczestniczyć w pierwszym przesłuchaniu pokrzywdzonego.</w:t>
      </w:r>
    </w:p>
    <w:p w14:paraId="2808870F" w14:textId="30F5F06A" w:rsidR="004B2F1E" w:rsidRPr="002A479B" w:rsidRDefault="00C62209" w:rsidP="002A479B">
      <w:pPr>
        <w:spacing w:line="240" w:lineRule="auto"/>
        <w:jc w:val="both"/>
        <w:rPr>
          <w:rFonts w:ascii="Times New Roman" w:hAnsi="Times New Roman"/>
          <w:sz w:val="24"/>
          <w:szCs w:val="24"/>
        </w:rPr>
      </w:pPr>
      <w:r w:rsidRPr="002A479B">
        <w:rPr>
          <w:rFonts w:ascii="Times New Roman" w:hAnsi="Times New Roman"/>
          <w:sz w:val="24"/>
          <w:szCs w:val="24"/>
        </w:rPr>
        <w:t>Odnieść należy się również do zmian</w:t>
      </w:r>
      <w:r w:rsidR="004B2F1E" w:rsidRPr="002A479B">
        <w:rPr>
          <w:rFonts w:ascii="Times New Roman" w:hAnsi="Times New Roman"/>
          <w:sz w:val="24"/>
          <w:szCs w:val="24"/>
        </w:rPr>
        <w:t xml:space="preserve"> </w:t>
      </w:r>
      <w:r w:rsidR="00453552" w:rsidRPr="002A479B">
        <w:rPr>
          <w:rFonts w:ascii="Times New Roman" w:hAnsi="Times New Roman"/>
          <w:sz w:val="24"/>
          <w:szCs w:val="24"/>
        </w:rPr>
        <w:t xml:space="preserve">art. 198 </w:t>
      </w:r>
      <w:r w:rsidRPr="002A479B">
        <w:rPr>
          <w:rFonts w:ascii="Times New Roman" w:hAnsi="Times New Roman"/>
          <w:sz w:val="24"/>
          <w:szCs w:val="24"/>
        </w:rPr>
        <w:t xml:space="preserve">§1 </w:t>
      </w:r>
      <w:r w:rsidR="00453552" w:rsidRPr="002A479B">
        <w:rPr>
          <w:rFonts w:ascii="Times New Roman" w:hAnsi="Times New Roman"/>
          <w:sz w:val="24"/>
          <w:szCs w:val="24"/>
        </w:rPr>
        <w:t>k.p.k.</w:t>
      </w:r>
      <w:r w:rsidRPr="002A479B">
        <w:rPr>
          <w:rFonts w:ascii="Times New Roman" w:hAnsi="Times New Roman"/>
          <w:sz w:val="24"/>
          <w:szCs w:val="24"/>
        </w:rPr>
        <w:t xml:space="preserve"> O ile regulacje dotyczące nieprzekazywani</w:t>
      </w:r>
      <w:r w:rsidR="00673EAD" w:rsidRPr="002A479B">
        <w:rPr>
          <w:rFonts w:ascii="Times New Roman" w:hAnsi="Times New Roman"/>
          <w:sz w:val="24"/>
          <w:szCs w:val="24"/>
        </w:rPr>
        <w:t>a</w:t>
      </w:r>
      <w:r w:rsidRPr="002A479B">
        <w:rPr>
          <w:rFonts w:ascii="Times New Roman" w:hAnsi="Times New Roman"/>
          <w:sz w:val="24"/>
          <w:szCs w:val="24"/>
        </w:rPr>
        <w:t xml:space="preserve"> biegłemu wcześniej wydanych w sprawie opinii uznać należy za zasadne i</w:t>
      </w:r>
      <w:r w:rsidR="002A479B">
        <w:rPr>
          <w:rFonts w:ascii="Times New Roman" w:hAnsi="Times New Roman"/>
          <w:sz w:val="24"/>
          <w:szCs w:val="24"/>
        </w:rPr>
        <w:t> </w:t>
      </w:r>
      <w:r w:rsidRPr="002A479B">
        <w:rPr>
          <w:rFonts w:ascii="Times New Roman" w:hAnsi="Times New Roman"/>
          <w:sz w:val="24"/>
          <w:szCs w:val="24"/>
        </w:rPr>
        <w:t xml:space="preserve">korzystne, o tyle wątpliwości może budzić </w:t>
      </w:r>
      <w:r w:rsidR="007427BB" w:rsidRPr="002A479B">
        <w:rPr>
          <w:rFonts w:ascii="Times New Roman" w:hAnsi="Times New Roman"/>
          <w:sz w:val="24"/>
          <w:szCs w:val="24"/>
        </w:rPr>
        <w:t xml:space="preserve">decydowanie przez Sąd o zakresie dokumentów przekazywanych biegłemu celem przygotowania przez niego opinii. Zgodnie z przepisami, Sąd powołuje biegłego gdy ocena okoliczności wymaga wiadomości specjalnych. </w:t>
      </w:r>
      <w:r w:rsidR="00FC2294" w:rsidRPr="002A479B">
        <w:rPr>
          <w:rFonts w:ascii="Times New Roman" w:hAnsi="Times New Roman"/>
          <w:sz w:val="24"/>
          <w:szCs w:val="24"/>
        </w:rPr>
        <w:t>Wynika to z</w:t>
      </w:r>
      <w:r w:rsidR="002A479B">
        <w:rPr>
          <w:rFonts w:ascii="Times New Roman" w:hAnsi="Times New Roman"/>
          <w:sz w:val="24"/>
          <w:szCs w:val="24"/>
        </w:rPr>
        <w:t> </w:t>
      </w:r>
      <w:r w:rsidR="00FC2294" w:rsidRPr="002A479B">
        <w:rPr>
          <w:rFonts w:ascii="Times New Roman" w:hAnsi="Times New Roman"/>
          <w:sz w:val="24"/>
          <w:szCs w:val="24"/>
        </w:rPr>
        <w:t xml:space="preserve">faktu, iż Sąd i strony takich wiadomości specjalnych nie posiadają. </w:t>
      </w:r>
      <w:r w:rsidR="007427BB" w:rsidRPr="002A479B">
        <w:rPr>
          <w:rFonts w:ascii="Times New Roman" w:hAnsi="Times New Roman"/>
          <w:sz w:val="24"/>
          <w:szCs w:val="24"/>
        </w:rPr>
        <w:t xml:space="preserve">Sąd nie posiada </w:t>
      </w:r>
      <w:r w:rsidR="00FC2294" w:rsidRPr="002A479B">
        <w:rPr>
          <w:rFonts w:ascii="Times New Roman" w:hAnsi="Times New Roman"/>
          <w:sz w:val="24"/>
          <w:szCs w:val="24"/>
        </w:rPr>
        <w:t xml:space="preserve">zatem </w:t>
      </w:r>
      <w:r w:rsidR="007427BB" w:rsidRPr="002A479B">
        <w:rPr>
          <w:rFonts w:ascii="Times New Roman" w:hAnsi="Times New Roman"/>
          <w:sz w:val="24"/>
          <w:szCs w:val="24"/>
        </w:rPr>
        <w:t xml:space="preserve">wystarczających kompetencji dla oceny danego zagadnienia. Brak jest zatem podstaw do uznania, że posiada kompetencje wystarczające do oceny jakich informacji biegły potrzebuje do wydania opinii. Tym samym, przyznanie Sądowi kompetencji do selekcji materiałów niezbędnych do wydania opinii wydaje się być nieuzasadnione i mogące wpływać na kształt wniosków tej opinii. </w:t>
      </w:r>
    </w:p>
    <w:p w14:paraId="7A8C61DC" w14:textId="7590B399" w:rsidR="00DB09F7" w:rsidRPr="002A479B" w:rsidRDefault="000B2F3A" w:rsidP="002A479B">
      <w:pPr>
        <w:spacing w:line="240" w:lineRule="auto"/>
        <w:jc w:val="both"/>
        <w:rPr>
          <w:rFonts w:ascii="Times New Roman" w:hAnsi="Times New Roman"/>
          <w:sz w:val="24"/>
          <w:szCs w:val="24"/>
        </w:rPr>
      </w:pPr>
      <w:r w:rsidRPr="002A479B">
        <w:rPr>
          <w:rFonts w:ascii="Times New Roman" w:hAnsi="Times New Roman"/>
          <w:sz w:val="24"/>
          <w:szCs w:val="24"/>
        </w:rPr>
        <w:t>Nie sposób zaaprobować – z punktu widzenia prawa do obrony – projektowanych zmian w</w:t>
      </w:r>
      <w:r w:rsidR="002A479B">
        <w:rPr>
          <w:rFonts w:ascii="Times New Roman" w:hAnsi="Times New Roman"/>
          <w:sz w:val="24"/>
          <w:szCs w:val="24"/>
        </w:rPr>
        <w:t> </w:t>
      </w:r>
      <w:r w:rsidRPr="002A479B">
        <w:rPr>
          <w:rFonts w:ascii="Times New Roman" w:hAnsi="Times New Roman"/>
          <w:sz w:val="24"/>
          <w:szCs w:val="24"/>
        </w:rPr>
        <w:t>przepisach art. 394 k.p.k. i 405 k.p.k. Strony postępowania bowiem mają prawo wiedzieć, na podstawie jakich dowodów sąd będzie wyrokował, a moment poinformowania o tym stron</w:t>
      </w:r>
      <w:r w:rsidR="00907514" w:rsidRPr="002A479B">
        <w:rPr>
          <w:rFonts w:ascii="Times New Roman" w:hAnsi="Times New Roman"/>
          <w:sz w:val="24"/>
          <w:szCs w:val="24"/>
        </w:rPr>
        <w:t xml:space="preserve"> (przed zamknięciem przewodu sądowego) pozwala stronom na złożenie oświadczenia procesowego w tym zakresie, jeżeli uznają, że określony dokument nie powinien stanowić dowodu, lub – co częstsze – gdy zdaniem strony określony dokument czy protokół powinny zostać ujawnione. Istotnym elementem prawa do obrony jest znajomość – w momencie zabierania głosu końcowego – podstawy dowodowej rozstrzygnięcia. Jednocześnie zgodzić się należy z projektodawcą, że</w:t>
      </w:r>
      <w:r w:rsidR="00DC4B68" w:rsidRPr="002A479B">
        <w:rPr>
          <w:rFonts w:ascii="Times New Roman" w:hAnsi="Times New Roman"/>
          <w:sz w:val="24"/>
          <w:szCs w:val="24"/>
        </w:rPr>
        <w:t xml:space="preserve"> sytuacja, w której sąd czasami przez kilka terminów rozprawy </w:t>
      </w:r>
      <w:r w:rsidR="00DC4B68" w:rsidRPr="002A479B">
        <w:rPr>
          <w:rFonts w:ascii="Times New Roman" w:hAnsi="Times New Roman"/>
          <w:sz w:val="24"/>
          <w:szCs w:val="24"/>
        </w:rPr>
        <w:lastRenderedPageBreak/>
        <w:t xml:space="preserve">głównej wymienia dokumenty i protokoły w trybie obecnego art. 394 § 2 k.p.k. nie jest pożądana. Usprawnienie tego elementu procesu karnego </w:t>
      </w:r>
      <w:r w:rsidR="00E16289" w:rsidRPr="002A479B">
        <w:rPr>
          <w:rFonts w:ascii="Times New Roman" w:hAnsi="Times New Roman"/>
          <w:sz w:val="24"/>
          <w:szCs w:val="24"/>
        </w:rPr>
        <w:t>polegać powinno raczej na tym, że oprócz obecnego art. 394 § 2 k.p.k., sąd powinien zyskać możliwość wydania postanowienia na posiedzeniu niejawnym, w którym to (a nie w protokole rozprawy) wymieni dokumenty i</w:t>
      </w:r>
      <w:r w:rsidR="002A479B">
        <w:rPr>
          <w:rFonts w:ascii="Times New Roman" w:hAnsi="Times New Roman"/>
          <w:sz w:val="24"/>
          <w:szCs w:val="24"/>
        </w:rPr>
        <w:t> </w:t>
      </w:r>
      <w:r w:rsidR="00E16289" w:rsidRPr="002A479B">
        <w:rPr>
          <w:rFonts w:ascii="Times New Roman" w:hAnsi="Times New Roman"/>
          <w:sz w:val="24"/>
          <w:szCs w:val="24"/>
        </w:rPr>
        <w:t xml:space="preserve">protokoły, mające stanowić podstawę rozstrzygnięcia – pod warunkiem doręczenia tego postanowienia stronom w  sposób umożliwiający im złożenie wniosku o zaliczenie nieobjętego postanowieniem </w:t>
      </w:r>
      <w:r w:rsidR="00DB09F7" w:rsidRPr="002A479B">
        <w:rPr>
          <w:rFonts w:ascii="Times New Roman" w:hAnsi="Times New Roman"/>
          <w:sz w:val="24"/>
          <w:szCs w:val="24"/>
        </w:rPr>
        <w:t>dokumentu czy protokołu w poczet materiału dowodowego przed zamknięciem przewodu sądowego</w:t>
      </w:r>
      <w:r w:rsidR="001E014F" w:rsidRPr="002A479B">
        <w:rPr>
          <w:rFonts w:ascii="Times New Roman" w:hAnsi="Times New Roman"/>
          <w:sz w:val="24"/>
          <w:szCs w:val="24"/>
        </w:rPr>
        <w:t xml:space="preserve"> czy skontrolowanie jeszcze w toku postępowania przed sądem I instancji, czy sąd dostrzegł wszelkie dowody, istotne z punktu widzenia interesu strony procesu</w:t>
      </w:r>
      <w:r w:rsidR="00DB09F7" w:rsidRPr="002A479B">
        <w:rPr>
          <w:rFonts w:ascii="Times New Roman" w:hAnsi="Times New Roman"/>
          <w:sz w:val="24"/>
          <w:szCs w:val="24"/>
        </w:rPr>
        <w:t xml:space="preserve">. </w:t>
      </w:r>
    </w:p>
    <w:p w14:paraId="546BC8FE" w14:textId="67CB1870" w:rsidR="00EF7AC7" w:rsidRPr="002A479B" w:rsidRDefault="00112B86" w:rsidP="002A479B">
      <w:pPr>
        <w:spacing w:line="240" w:lineRule="auto"/>
        <w:jc w:val="both"/>
        <w:rPr>
          <w:rFonts w:ascii="Times New Roman" w:hAnsi="Times New Roman"/>
          <w:sz w:val="24"/>
          <w:szCs w:val="24"/>
        </w:rPr>
      </w:pPr>
      <w:r w:rsidRPr="002A479B">
        <w:rPr>
          <w:rFonts w:ascii="Times New Roman" w:hAnsi="Times New Roman"/>
          <w:sz w:val="24"/>
          <w:szCs w:val="24"/>
        </w:rPr>
        <w:t>Projektodawca dostrzegł konieczność zaktywizowania stron i uczestników postępowania</w:t>
      </w:r>
      <w:r w:rsidR="00BE737D" w:rsidRPr="002A479B">
        <w:rPr>
          <w:rFonts w:ascii="Times New Roman" w:hAnsi="Times New Roman"/>
          <w:sz w:val="24"/>
          <w:szCs w:val="24"/>
        </w:rPr>
        <w:t xml:space="preserve"> rozpoznawczego</w:t>
      </w:r>
      <w:r w:rsidRPr="002A479B">
        <w:rPr>
          <w:rFonts w:ascii="Times New Roman" w:hAnsi="Times New Roman"/>
          <w:sz w:val="24"/>
          <w:szCs w:val="24"/>
        </w:rPr>
        <w:t xml:space="preserve">, </w:t>
      </w:r>
      <w:r w:rsidR="00BE737D" w:rsidRPr="002A479B">
        <w:rPr>
          <w:rFonts w:ascii="Times New Roman" w:hAnsi="Times New Roman"/>
          <w:sz w:val="24"/>
          <w:szCs w:val="24"/>
        </w:rPr>
        <w:t>ograniczając projektowanym art. 427 §3a k.p.k. możliwość stawiania w</w:t>
      </w:r>
      <w:r w:rsidR="002A479B">
        <w:rPr>
          <w:rFonts w:ascii="Times New Roman" w:hAnsi="Times New Roman"/>
          <w:sz w:val="24"/>
          <w:szCs w:val="24"/>
        </w:rPr>
        <w:t> </w:t>
      </w:r>
      <w:r w:rsidR="00BE737D" w:rsidRPr="002A479B">
        <w:rPr>
          <w:rFonts w:ascii="Times New Roman" w:hAnsi="Times New Roman"/>
          <w:sz w:val="24"/>
          <w:szCs w:val="24"/>
        </w:rPr>
        <w:t xml:space="preserve">środku odwoławczym zarzutów zmierzających do wykazania niedostatecznej inicjatywy dowodowej organu, który wydał skarżone orzeczenie. </w:t>
      </w:r>
      <w:r w:rsidR="0028570C" w:rsidRPr="002A479B">
        <w:rPr>
          <w:rFonts w:ascii="Times New Roman" w:hAnsi="Times New Roman"/>
          <w:sz w:val="24"/>
          <w:szCs w:val="24"/>
        </w:rPr>
        <w:t>Proponowana zmiana ma – w zamiarze Projektodawcy – zwiększyć kontradyktoryjność postępowania karnego na etapach poprzedzających wniesienie środka odwoławczego, czemu należy przyklasnąć w zakresie, w</w:t>
      </w:r>
      <w:r w:rsidR="002A479B">
        <w:rPr>
          <w:rFonts w:ascii="Times New Roman" w:hAnsi="Times New Roman"/>
          <w:sz w:val="24"/>
          <w:szCs w:val="24"/>
        </w:rPr>
        <w:t> </w:t>
      </w:r>
      <w:r w:rsidR="0028570C" w:rsidRPr="002A479B">
        <w:rPr>
          <w:rFonts w:ascii="Times New Roman" w:hAnsi="Times New Roman"/>
          <w:sz w:val="24"/>
          <w:szCs w:val="24"/>
        </w:rPr>
        <w:t>jakim kontradyktoryjność zostanie zwiększona w postępowaniu rozpoznawczym, a co należy skrytykować w zakresie środków odwoławczych składanych na podstawie art. 306 § 1 i 1a k.p.k.</w:t>
      </w:r>
      <w:r w:rsidR="00EF7AC7" w:rsidRPr="002A479B">
        <w:rPr>
          <w:rFonts w:ascii="Times New Roman" w:hAnsi="Times New Roman"/>
          <w:sz w:val="24"/>
          <w:szCs w:val="24"/>
        </w:rPr>
        <w:t xml:space="preserve"> Nie sposób oprzeć się wrażeniu, że Projektodawca wraca do niektórych, bardziej istotnych założeń reformy k.p.k. z września 2013 r., co należy odnotować z satysfakcją, choć wytknąć należy pewne niedoskonałości tej zmiany. Otóż, jak wskazano już wcześniej, </w:t>
      </w:r>
      <w:r w:rsidR="00A31741" w:rsidRPr="002A479B">
        <w:rPr>
          <w:rFonts w:ascii="Times New Roman" w:hAnsi="Times New Roman"/>
          <w:sz w:val="24"/>
          <w:szCs w:val="24"/>
        </w:rPr>
        <w:t xml:space="preserve">umożliwienie stawiania zarzutów odwoławczych dotyczących niedostatecznej inicjatywy dowodowej </w:t>
      </w:r>
      <w:r w:rsidR="00A31741" w:rsidRPr="002A479B">
        <w:rPr>
          <w:rFonts w:ascii="Times New Roman" w:hAnsi="Times New Roman"/>
          <w:i/>
          <w:sz w:val="24"/>
          <w:szCs w:val="24"/>
        </w:rPr>
        <w:t xml:space="preserve">ex  officio </w:t>
      </w:r>
      <w:r w:rsidR="00564F34" w:rsidRPr="002A479B">
        <w:rPr>
          <w:rFonts w:ascii="Times New Roman" w:hAnsi="Times New Roman"/>
          <w:sz w:val="24"/>
          <w:szCs w:val="24"/>
        </w:rPr>
        <w:t xml:space="preserve">tylko </w:t>
      </w:r>
      <w:r w:rsidR="00A31741" w:rsidRPr="002A479B">
        <w:rPr>
          <w:rFonts w:ascii="Times New Roman" w:hAnsi="Times New Roman"/>
          <w:sz w:val="24"/>
          <w:szCs w:val="24"/>
        </w:rPr>
        <w:t>jeżeli okoliczność, która miała zostać udowodniona, ma istotne znaczenie dla ustalenia, czy został popełniony czyn zabroniony, czy stanowi on przestępstwo i</w:t>
      </w:r>
      <w:r w:rsidR="002A479B">
        <w:rPr>
          <w:rFonts w:ascii="Times New Roman" w:hAnsi="Times New Roman"/>
          <w:sz w:val="24"/>
          <w:szCs w:val="24"/>
        </w:rPr>
        <w:t> </w:t>
      </w:r>
      <w:r w:rsidR="00A31741" w:rsidRPr="002A479B">
        <w:rPr>
          <w:rFonts w:ascii="Times New Roman" w:hAnsi="Times New Roman"/>
          <w:sz w:val="24"/>
          <w:szCs w:val="24"/>
        </w:rPr>
        <w:t>jakie, czy czyn zabroniony został popełniony w warunkach, o których mowa w art. 64 lub 65 Kodeksu karnego lub czy zachodzą warunki do orzeczenia pobytu w zakładzie psychiatrycznym na podstawie art. 93g Kodeksu karnego, w istocie może pozbawić sensu projektowany zapis z co najmniej dwóch względów.</w:t>
      </w:r>
    </w:p>
    <w:p w14:paraId="7D2ABC58" w14:textId="6B0E0EDE" w:rsidR="00A31741" w:rsidRPr="002A479B" w:rsidRDefault="00A31741"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Po pierwsze, prawie każdy istotny dowód </w:t>
      </w:r>
      <w:r w:rsidR="003D12B6" w:rsidRPr="002A479B">
        <w:rPr>
          <w:rFonts w:ascii="Times New Roman" w:hAnsi="Times New Roman"/>
          <w:sz w:val="24"/>
          <w:szCs w:val="24"/>
        </w:rPr>
        <w:t>zmierza do wykazania okoliczności, o których mowa w projektowanym art. 170 § 1a k.p.k. czy 427 § 3 k.p.k., co może powodować iluzoryczność tego przepisu.</w:t>
      </w:r>
    </w:p>
    <w:p w14:paraId="155D48B9" w14:textId="49375360" w:rsidR="003D12B6" w:rsidRPr="002A479B" w:rsidRDefault="003D12B6"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Po drugie, </w:t>
      </w:r>
      <w:r w:rsidR="00345DDB" w:rsidRPr="002A479B">
        <w:rPr>
          <w:rFonts w:ascii="Times New Roman" w:hAnsi="Times New Roman"/>
          <w:sz w:val="24"/>
          <w:szCs w:val="24"/>
        </w:rPr>
        <w:t xml:space="preserve">w obecnym stanie prawnym </w:t>
      </w:r>
      <w:r w:rsidRPr="002A479B">
        <w:rPr>
          <w:rFonts w:ascii="Times New Roman" w:hAnsi="Times New Roman"/>
          <w:sz w:val="24"/>
          <w:szCs w:val="24"/>
        </w:rPr>
        <w:t>dla skuteczności zarzutu odwoławczego, wytykającego organowi, kt</w:t>
      </w:r>
      <w:r w:rsidR="00345AF5" w:rsidRPr="002A479B">
        <w:rPr>
          <w:rFonts w:ascii="Times New Roman" w:hAnsi="Times New Roman"/>
          <w:sz w:val="24"/>
          <w:szCs w:val="24"/>
        </w:rPr>
        <w:t xml:space="preserve">óry wydał skarżone orzeczenie niedostateczną inicjatywę dowodową z urzędu, niezbędne jest wykazanie choćby hipotetycznego wpływu na treść skarżonego orzeczenia (art. 438 pkt 2 k.p.k.), co </w:t>
      </w:r>
      <w:r w:rsidR="00FC4679" w:rsidRPr="002A479B">
        <w:rPr>
          <w:rFonts w:ascii="Times New Roman" w:hAnsi="Times New Roman"/>
          <w:sz w:val="24"/>
          <w:szCs w:val="24"/>
        </w:rPr>
        <w:t>pozbawia skuteczności procesowej zarzutu niedostatecznej inicjatywy dowodowej tam, gdzie pozostało to bez wpływu na treść wydanego orzeczenia.</w:t>
      </w:r>
    </w:p>
    <w:p w14:paraId="64E7AF2D" w14:textId="4BFBA0C1" w:rsidR="003D235E" w:rsidRPr="002A479B" w:rsidRDefault="003D235E" w:rsidP="002A479B">
      <w:pPr>
        <w:spacing w:line="240" w:lineRule="auto"/>
        <w:jc w:val="both"/>
        <w:rPr>
          <w:rFonts w:ascii="Times New Roman" w:hAnsi="Times New Roman"/>
          <w:sz w:val="24"/>
          <w:szCs w:val="24"/>
        </w:rPr>
      </w:pPr>
      <w:r w:rsidRPr="002A479B">
        <w:rPr>
          <w:rFonts w:ascii="Times New Roman" w:hAnsi="Times New Roman"/>
          <w:sz w:val="24"/>
          <w:szCs w:val="24"/>
        </w:rPr>
        <w:t>Zdecydowanie bardziej uzasadnionym i skłaniającym strony do aktywności procesowej w</w:t>
      </w:r>
      <w:r w:rsidR="002A479B">
        <w:rPr>
          <w:rFonts w:ascii="Times New Roman" w:hAnsi="Times New Roman"/>
          <w:sz w:val="24"/>
          <w:szCs w:val="24"/>
        </w:rPr>
        <w:t> </w:t>
      </w:r>
      <w:r w:rsidRPr="002A479B">
        <w:rPr>
          <w:rFonts w:ascii="Times New Roman" w:hAnsi="Times New Roman"/>
          <w:sz w:val="24"/>
          <w:szCs w:val="24"/>
        </w:rPr>
        <w:t>postępowaniu poprzedzającym wydanie orzeczenia</w:t>
      </w:r>
      <w:r w:rsidR="00A10F74" w:rsidRPr="002A479B">
        <w:rPr>
          <w:rFonts w:ascii="Times New Roman" w:hAnsi="Times New Roman"/>
          <w:sz w:val="24"/>
          <w:szCs w:val="24"/>
        </w:rPr>
        <w:t xml:space="preserve">, byłby powrót do rozwiązania znanego już z noweli z września 2013 r., zgodnie z którym </w:t>
      </w:r>
      <w:r w:rsidR="00A10F74" w:rsidRPr="002A479B">
        <w:rPr>
          <w:rFonts w:ascii="Times New Roman" w:hAnsi="Times New Roman"/>
          <w:b/>
          <w:sz w:val="24"/>
          <w:szCs w:val="24"/>
        </w:rPr>
        <w:t>w ogóle nie było możliwe stawianie zarzutów niedostatecznej inicjatywy dowodowej organu procesowego z urzędu, w</w:t>
      </w:r>
      <w:r w:rsidR="002A479B">
        <w:rPr>
          <w:rFonts w:ascii="Times New Roman" w:hAnsi="Times New Roman"/>
          <w:b/>
          <w:sz w:val="24"/>
          <w:szCs w:val="24"/>
        </w:rPr>
        <w:t> </w:t>
      </w:r>
      <w:r w:rsidR="00A10F74" w:rsidRPr="002A479B">
        <w:rPr>
          <w:rFonts w:ascii="Times New Roman" w:hAnsi="Times New Roman"/>
          <w:b/>
          <w:sz w:val="24"/>
          <w:szCs w:val="24"/>
        </w:rPr>
        <w:t>sprawach zainicjowanych skargą – za wyjątkiem tzw. dowodów obligatoryjnych.</w:t>
      </w:r>
    </w:p>
    <w:p w14:paraId="4EF229AA" w14:textId="5E696E91" w:rsidR="00A10F74" w:rsidRPr="002A479B" w:rsidRDefault="00A10F74" w:rsidP="002A479B">
      <w:pPr>
        <w:spacing w:line="240" w:lineRule="auto"/>
        <w:jc w:val="both"/>
        <w:rPr>
          <w:rFonts w:ascii="Times New Roman" w:hAnsi="Times New Roman"/>
          <w:sz w:val="24"/>
          <w:szCs w:val="24"/>
        </w:rPr>
      </w:pPr>
      <w:r w:rsidRPr="002A479B">
        <w:rPr>
          <w:rFonts w:ascii="Times New Roman" w:hAnsi="Times New Roman"/>
          <w:sz w:val="24"/>
          <w:szCs w:val="24"/>
        </w:rPr>
        <w:t>Wadą proponowanego rozwiązania jest także to, że ma on</w:t>
      </w:r>
      <w:r w:rsidR="00C63738" w:rsidRPr="002A479B">
        <w:rPr>
          <w:rFonts w:ascii="Times New Roman" w:hAnsi="Times New Roman"/>
          <w:sz w:val="24"/>
          <w:szCs w:val="24"/>
        </w:rPr>
        <w:t>o</w:t>
      </w:r>
      <w:r w:rsidRPr="002A479B">
        <w:rPr>
          <w:rFonts w:ascii="Times New Roman" w:hAnsi="Times New Roman"/>
          <w:sz w:val="24"/>
          <w:szCs w:val="24"/>
        </w:rPr>
        <w:t xml:space="preserve"> znaleźć zastosowanie we wszystkich środkach odwoławczych, a więc nie tylko w apelacjach, ale także w zażaleniach, także tych składanych w oparciu o art. 306 § 1 i 1a k.p.k., a </w:t>
      </w:r>
      <w:r w:rsidR="00452F6D" w:rsidRPr="002A479B">
        <w:rPr>
          <w:rFonts w:ascii="Times New Roman" w:hAnsi="Times New Roman"/>
          <w:sz w:val="24"/>
          <w:szCs w:val="24"/>
        </w:rPr>
        <w:t xml:space="preserve">dotyczących przecież orzeczenia wydanego po inkwizycyjnej fazie postępowania, gdzie udział stron (zarówno pokrzywdzonego jak i podejrzanego) jest istotnie ograniczony. Nie wydaje się zasadnym, by odbierać stronom </w:t>
      </w:r>
      <w:r w:rsidR="003A214B" w:rsidRPr="002A479B">
        <w:rPr>
          <w:rFonts w:ascii="Times New Roman" w:hAnsi="Times New Roman"/>
          <w:sz w:val="24"/>
          <w:szCs w:val="24"/>
        </w:rPr>
        <w:t xml:space="preserve">możliwość </w:t>
      </w:r>
      <w:r w:rsidR="00452F6D" w:rsidRPr="002A479B">
        <w:rPr>
          <w:rFonts w:ascii="Times New Roman" w:hAnsi="Times New Roman"/>
          <w:sz w:val="24"/>
          <w:szCs w:val="24"/>
        </w:rPr>
        <w:t xml:space="preserve">wytknięcia niedostatecznej inicjatywy dowodowej organom ścigania. </w:t>
      </w:r>
      <w:r w:rsidR="00452F6D" w:rsidRPr="002A479B">
        <w:rPr>
          <w:rFonts w:ascii="Times New Roman" w:hAnsi="Times New Roman"/>
          <w:sz w:val="24"/>
          <w:szCs w:val="24"/>
        </w:rPr>
        <w:lastRenderedPageBreak/>
        <w:t>Wprowadzenie tego ograniczenia także w stosunku to tych zażaleń istotnie ograniczy ich kontrolę odwoławczą, dokonywaną przez sądy właściwe do rozpoznania sprawy.</w:t>
      </w:r>
    </w:p>
    <w:p w14:paraId="7EAC6801" w14:textId="34A61E6E" w:rsidR="001158FC" w:rsidRPr="002A479B" w:rsidRDefault="004B2F1E" w:rsidP="002A479B">
      <w:pPr>
        <w:spacing w:line="240" w:lineRule="auto"/>
        <w:jc w:val="both"/>
        <w:rPr>
          <w:rFonts w:ascii="Times New Roman" w:hAnsi="Times New Roman"/>
          <w:sz w:val="24"/>
          <w:szCs w:val="24"/>
        </w:rPr>
      </w:pPr>
      <w:r w:rsidRPr="002A479B">
        <w:rPr>
          <w:rFonts w:ascii="Times New Roman" w:hAnsi="Times New Roman"/>
          <w:sz w:val="24"/>
          <w:szCs w:val="24"/>
        </w:rPr>
        <w:t>W zakresie postępowania dowodowego przed sądem rozpoznającym apelację (art. 452 § 2 k.p.k.), aktualne pozostają uwagi do projektowanego art. 427 § 3a k.p.k.</w:t>
      </w:r>
    </w:p>
    <w:p w14:paraId="431AC659" w14:textId="77777777" w:rsidR="00150A3A" w:rsidRPr="002A479B" w:rsidRDefault="00150A3A" w:rsidP="002A479B">
      <w:pPr>
        <w:pStyle w:val="Akapitzlist"/>
        <w:numPr>
          <w:ilvl w:val="0"/>
          <w:numId w:val="3"/>
        </w:numPr>
        <w:spacing w:line="240" w:lineRule="auto"/>
        <w:jc w:val="both"/>
        <w:rPr>
          <w:rFonts w:ascii="Times New Roman" w:hAnsi="Times New Roman"/>
          <w:b/>
          <w:sz w:val="24"/>
          <w:szCs w:val="24"/>
        </w:rPr>
      </w:pPr>
      <w:r w:rsidRPr="002A479B">
        <w:rPr>
          <w:rFonts w:ascii="Times New Roman" w:hAnsi="Times New Roman"/>
          <w:b/>
          <w:sz w:val="24"/>
          <w:szCs w:val="24"/>
        </w:rPr>
        <w:t xml:space="preserve">Zmiany dotyczące obecności oskarżonego na rozprawie głównej. </w:t>
      </w:r>
    </w:p>
    <w:p w14:paraId="7538292F" w14:textId="7D277628" w:rsidR="00380740" w:rsidRPr="002A479B" w:rsidRDefault="00453552" w:rsidP="002A479B">
      <w:pPr>
        <w:spacing w:line="240" w:lineRule="auto"/>
        <w:jc w:val="both"/>
        <w:rPr>
          <w:rFonts w:ascii="Times New Roman" w:hAnsi="Times New Roman"/>
          <w:sz w:val="24"/>
          <w:szCs w:val="24"/>
        </w:rPr>
      </w:pPr>
      <w:r w:rsidRPr="002A479B">
        <w:rPr>
          <w:rFonts w:ascii="Times New Roman" w:hAnsi="Times New Roman"/>
          <w:sz w:val="24"/>
          <w:szCs w:val="24"/>
        </w:rPr>
        <w:t>Zgodnie z art. 6 ust. 3 lit. c i d Konwencji o ochronie praw człowieka i podstawowych wolności, sporządzonej 4 listopada 1950 r. w Rzymie</w:t>
      </w:r>
      <w:r w:rsidR="00FB5643" w:rsidRPr="002A479B">
        <w:rPr>
          <w:rFonts w:ascii="Times New Roman" w:hAnsi="Times New Roman"/>
          <w:sz w:val="24"/>
          <w:szCs w:val="24"/>
        </w:rPr>
        <w:t>, oskarżony ma m.in. prawo do bronienia się osobiście czy do przesłuchania lub spowodowania przesłuchania świadków oskarżenia oraz żądania obecności i przesłuchania świadków obrony na takich samych warunkach jak świadków oskarżenia.</w:t>
      </w:r>
    </w:p>
    <w:p w14:paraId="7224E469" w14:textId="71B93859" w:rsidR="003D1165" w:rsidRPr="002A479B" w:rsidRDefault="003D1165"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Wreszcie, zgodnie z art. 42 ust. 2 </w:t>
      </w:r>
      <w:r w:rsidRPr="002A479B">
        <w:rPr>
          <w:rFonts w:ascii="Times New Roman" w:hAnsi="Times New Roman"/>
          <w:i/>
          <w:sz w:val="24"/>
          <w:szCs w:val="24"/>
        </w:rPr>
        <w:t xml:space="preserve">in </w:t>
      </w:r>
      <w:proofErr w:type="spellStart"/>
      <w:r w:rsidRPr="002A479B">
        <w:rPr>
          <w:rFonts w:ascii="Times New Roman" w:hAnsi="Times New Roman"/>
          <w:i/>
          <w:sz w:val="24"/>
          <w:szCs w:val="24"/>
        </w:rPr>
        <w:t>principio</w:t>
      </w:r>
      <w:proofErr w:type="spellEnd"/>
      <w:r w:rsidRPr="002A479B">
        <w:rPr>
          <w:rFonts w:ascii="Times New Roman" w:hAnsi="Times New Roman"/>
          <w:i/>
          <w:sz w:val="24"/>
          <w:szCs w:val="24"/>
        </w:rPr>
        <w:t xml:space="preserve"> </w:t>
      </w:r>
      <w:r w:rsidRPr="002A479B">
        <w:rPr>
          <w:rFonts w:ascii="Times New Roman" w:hAnsi="Times New Roman"/>
          <w:sz w:val="24"/>
          <w:szCs w:val="24"/>
        </w:rPr>
        <w:t>Konstytucji RP, każdy, przeciw komu prowadzone jest postępowanie karne, ma prawo do obrony we wszystkich stadiach postępowania.</w:t>
      </w:r>
    </w:p>
    <w:p w14:paraId="69B39EF2" w14:textId="790AA1CB" w:rsidR="003D1165" w:rsidRPr="002A479B" w:rsidRDefault="00276A9E" w:rsidP="002A479B">
      <w:pPr>
        <w:spacing w:line="240" w:lineRule="auto"/>
        <w:jc w:val="both"/>
        <w:rPr>
          <w:rFonts w:ascii="Times New Roman" w:hAnsi="Times New Roman"/>
          <w:sz w:val="24"/>
          <w:szCs w:val="24"/>
        </w:rPr>
      </w:pPr>
      <w:r w:rsidRPr="002A479B">
        <w:rPr>
          <w:rFonts w:ascii="Times New Roman" w:hAnsi="Times New Roman"/>
          <w:sz w:val="24"/>
          <w:szCs w:val="24"/>
        </w:rPr>
        <w:t>Jako absolutnie niezgodne z powyższymi standardami należy ocenić projektowane zmiany w</w:t>
      </w:r>
      <w:r w:rsidR="002A479B">
        <w:rPr>
          <w:rFonts w:ascii="Times New Roman" w:hAnsi="Times New Roman"/>
          <w:sz w:val="24"/>
          <w:szCs w:val="24"/>
        </w:rPr>
        <w:t> </w:t>
      </w:r>
      <w:r w:rsidRPr="002A479B">
        <w:rPr>
          <w:rFonts w:ascii="Times New Roman" w:hAnsi="Times New Roman"/>
          <w:sz w:val="24"/>
          <w:szCs w:val="24"/>
        </w:rPr>
        <w:t xml:space="preserve">zakresie możliwości prowadzenia rozprawy głównej </w:t>
      </w:r>
      <w:r w:rsidR="002C2A90" w:rsidRPr="002A479B">
        <w:rPr>
          <w:rFonts w:ascii="Times New Roman" w:hAnsi="Times New Roman"/>
          <w:sz w:val="24"/>
          <w:szCs w:val="24"/>
        </w:rPr>
        <w:t>podczas usprawiedliwionej nieobecności oskarżonego czy jego obrońcy</w:t>
      </w:r>
      <w:r w:rsidR="0041277F" w:rsidRPr="002A479B">
        <w:rPr>
          <w:rFonts w:ascii="Times New Roman" w:hAnsi="Times New Roman"/>
          <w:sz w:val="24"/>
          <w:szCs w:val="24"/>
        </w:rPr>
        <w:t>, w szczególności mogącej wynikać z okoliczności uznawanych na przykład</w:t>
      </w:r>
      <w:r w:rsidR="00CF5D67" w:rsidRPr="002A479B">
        <w:rPr>
          <w:rFonts w:ascii="Times New Roman" w:hAnsi="Times New Roman"/>
          <w:sz w:val="24"/>
          <w:szCs w:val="24"/>
        </w:rPr>
        <w:t xml:space="preserve"> za</w:t>
      </w:r>
      <w:r w:rsidR="0041277F" w:rsidRPr="002A479B">
        <w:rPr>
          <w:rFonts w:ascii="Times New Roman" w:hAnsi="Times New Roman"/>
          <w:sz w:val="24"/>
          <w:szCs w:val="24"/>
        </w:rPr>
        <w:t xml:space="preserve"> </w:t>
      </w:r>
      <w:r w:rsidR="0041277F" w:rsidRPr="002A479B">
        <w:rPr>
          <w:rFonts w:ascii="Times New Roman" w:hAnsi="Times New Roman"/>
          <w:i/>
          <w:sz w:val="24"/>
          <w:szCs w:val="24"/>
        </w:rPr>
        <w:t>vis maior</w:t>
      </w:r>
      <w:r w:rsidR="0041277F" w:rsidRPr="002A479B">
        <w:rPr>
          <w:rFonts w:ascii="Times New Roman" w:hAnsi="Times New Roman"/>
          <w:sz w:val="24"/>
          <w:szCs w:val="24"/>
        </w:rPr>
        <w:t xml:space="preserve">. </w:t>
      </w:r>
    </w:p>
    <w:p w14:paraId="306C44FF" w14:textId="25E7AC8A" w:rsidR="004B1D85" w:rsidRPr="002A479B" w:rsidRDefault="004B1D85" w:rsidP="002A479B">
      <w:pPr>
        <w:spacing w:line="240" w:lineRule="auto"/>
        <w:jc w:val="both"/>
        <w:rPr>
          <w:rFonts w:ascii="Times New Roman" w:hAnsi="Times New Roman"/>
          <w:sz w:val="24"/>
          <w:szCs w:val="24"/>
        </w:rPr>
      </w:pPr>
      <w:r w:rsidRPr="002A479B">
        <w:rPr>
          <w:rFonts w:ascii="Times New Roman" w:hAnsi="Times New Roman"/>
          <w:sz w:val="24"/>
          <w:szCs w:val="24"/>
        </w:rPr>
        <w:t>Zważywszy na przyjęty przez polskiego Ustawodawcę</w:t>
      </w:r>
      <w:r w:rsidR="008F3C46" w:rsidRPr="002A479B">
        <w:rPr>
          <w:rFonts w:ascii="Times New Roman" w:hAnsi="Times New Roman"/>
          <w:sz w:val="24"/>
          <w:szCs w:val="24"/>
        </w:rPr>
        <w:t xml:space="preserve"> </w:t>
      </w:r>
      <w:r w:rsidRPr="002A479B">
        <w:rPr>
          <w:rFonts w:ascii="Times New Roman" w:hAnsi="Times New Roman"/>
          <w:sz w:val="24"/>
          <w:szCs w:val="24"/>
        </w:rPr>
        <w:t xml:space="preserve">model postępowania przygotowawczego, rozprawa główna </w:t>
      </w:r>
      <w:r w:rsidRPr="002A479B">
        <w:rPr>
          <w:rFonts w:ascii="Times New Roman" w:hAnsi="Times New Roman"/>
          <w:b/>
          <w:sz w:val="24"/>
          <w:szCs w:val="24"/>
        </w:rPr>
        <w:t xml:space="preserve">jest jedynym momentem, </w:t>
      </w:r>
      <w:r w:rsidRPr="002A479B">
        <w:rPr>
          <w:rFonts w:ascii="Times New Roman" w:hAnsi="Times New Roman"/>
          <w:sz w:val="24"/>
          <w:szCs w:val="24"/>
        </w:rPr>
        <w:t xml:space="preserve">w którym możliwe jest zweryfikowanie przez stronę bierną tez oskarżenia i skonfrontowanie z tezami oskarżenia </w:t>
      </w:r>
      <w:r w:rsidR="00E03358" w:rsidRPr="002A479B">
        <w:rPr>
          <w:rFonts w:ascii="Times New Roman" w:hAnsi="Times New Roman"/>
          <w:sz w:val="24"/>
          <w:szCs w:val="24"/>
        </w:rPr>
        <w:t>rzeczywistej treści dowodów – w szczególności zeznań świadków</w:t>
      </w:r>
      <w:r w:rsidR="00214E6C" w:rsidRPr="002A479B">
        <w:rPr>
          <w:rFonts w:ascii="Times New Roman" w:hAnsi="Times New Roman"/>
          <w:sz w:val="24"/>
          <w:szCs w:val="24"/>
        </w:rPr>
        <w:t xml:space="preserve">, dlatego tak ważne jest zapewnienie prawa uczestnictwa oskarżonego i jego obrońcy </w:t>
      </w:r>
      <w:r w:rsidR="0000274C" w:rsidRPr="002A479B">
        <w:rPr>
          <w:rFonts w:ascii="Times New Roman" w:hAnsi="Times New Roman"/>
          <w:sz w:val="24"/>
          <w:szCs w:val="24"/>
        </w:rPr>
        <w:t>w jej toku.</w:t>
      </w:r>
    </w:p>
    <w:p w14:paraId="0F15D611" w14:textId="6D2B42BA" w:rsidR="00757496" w:rsidRPr="002A479B" w:rsidRDefault="0000274C"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Często wykazanie niezasadności tez oskarżenia sprowadza się do zadania świadkowi przez obrońcę </w:t>
      </w:r>
      <w:r w:rsidR="00B35C01" w:rsidRPr="002A479B">
        <w:rPr>
          <w:rFonts w:ascii="Times New Roman" w:hAnsi="Times New Roman"/>
          <w:sz w:val="24"/>
          <w:szCs w:val="24"/>
        </w:rPr>
        <w:t xml:space="preserve">czy oskarżonego </w:t>
      </w:r>
      <w:r w:rsidRPr="002A479B">
        <w:rPr>
          <w:rFonts w:ascii="Times New Roman" w:hAnsi="Times New Roman"/>
          <w:sz w:val="24"/>
          <w:szCs w:val="24"/>
        </w:rPr>
        <w:t xml:space="preserve">jednego pytania, </w:t>
      </w:r>
      <w:r w:rsidR="00B35C01" w:rsidRPr="002A479B">
        <w:rPr>
          <w:rFonts w:ascii="Times New Roman" w:hAnsi="Times New Roman"/>
          <w:sz w:val="24"/>
          <w:szCs w:val="24"/>
        </w:rPr>
        <w:t xml:space="preserve">które wykaże brak wiarygodności świadka lub inną cechę jego zeznań, nie dostrzeżoną w postępowaniu przygotowawczym, która skutecznie pozbawi to źródło dowodowe </w:t>
      </w:r>
      <w:r w:rsidR="00EC02F4" w:rsidRPr="002A479B">
        <w:rPr>
          <w:rFonts w:ascii="Times New Roman" w:hAnsi="Times New Roman"/>
          <w:sz w:val="24"/>
          <w:szCs w:val="24"/>
        </w:rPr>
        <w:t>waloru</w:t>
      </w:r>
      <w:r w:rsidR="00B35C01" w:rsidRPr="002A479B">
        <w:rPr>
          <w:rFonts w:ascii="Times New Roman" w:hAnsi="Times New Roman"/>
          <w:sz w:val="24"/>
          <w:szCs w:val="24"/>
        </w:rPr>
        <w:t xml:space="preserve"> wiarygodności. </w:t>
      </w:r>
      <w:r w:rsidR="008F3C46" w:rsidRPr="002A479B">
        <w:rPr>
          <w:rFonts w:ascii="Times New Roman" w:hAnsi="Times New Roman"/>
          <w:sz w:val="24"/>
          <w:szCs w:val="24"/>
        </w:rPr>
        <w:t>Należy również pamiętać, że często kluczowe dla oceny wiarygodności świadka pytania można zadać w toku przesłuchania, w</w:t>
      </w:r>
      <w:r w:rsidR="002A479B">
        <w:rPr>
          <w:rFonts w:ascii="Times New Roman" w:hAnsi="Times New Roman"/>
          <w:sz w:val="24"/>
          <w:szCs w:val="24"/>
        </w:rPr>
        <w:t> </w:t>
      </w:r>
      <w:r w:rsidR="008F3C46" w:rsidRPr="002A479B">
        <w:rPr>
          <w:rFonts w:ascii="Times New Roman" w:hAnsi="Times New Roman"/>
          <w:sz w:val="24"/>
          <w:szCs w:val="24"/>
        </w:rPr>
        <w:t xml:space="preserve">zestawieniu z innymi pytaniami, dzięki zachowaniu dynamiki przesłuchania. Najczęściej to właśnie dynamika przesłuchania, konfrontowanie na bieżąco przekazywanych informacji, logika stawianych pytań umożliwia uzyskanie kluczowych informacji. </w:t>
      </w:r>
    </w:p>
    <w:p w14:paraId="2A02D32D" w14:textId="272F1FF2" w:rsidR="00757496" w:rsidRPr="002A479B" w:rsidRDefault="00757496"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Wbrew twierdzeniom Projektodawcy, zawartym na kartach uzasadnienia projektu ustawy, </w:t>
      </w:r>
      <w:r w:rsidR="00696153" w:rsidRPr="002A479B">
        <w:rPr>
          <w:rFonts w:ascii="Times New Roman" w:hAnsi="Times New Roman"/>
          <w:sz w:val="24"/>
          <w:szCs w:val="24"/>
        </w:rPr>
        <w:t xml:space="preserve">proponowane zmiany przepisów pozwalające na prowadzenie rozprawy głównej pod usprawiedliwioną nieobecność oskarżonego lub jego obrońcy nie realizują w najmniejszym stopniu gwarancji procesowych przynależnych stronie biernej. </w:t>
      </w:r>
    </w:p>
    <w:p w14:paraId="55E9543D" w14:textId="6F5B2C43" w:rsidR="00696153" w:rsidRPr="002A479B" w:rsidRDefault="00696153" w:rsidP="002A479B">
      <w:pPr>
        <w:spacing w:line="240" w:lineRule="auto"/>
        <w:jc w:val="both"/>
        <w:rPr>
          <w:rFonts w:ascii="Times New Roman" w:hAnsi="Times New Roman"/>
          <w:b/>
          <w:sz w:val="24"/>
          <w:szCs w:val="24"/>
        </w:rPr>
      </w:pPr>
      <w:r w:rsidRPr="002A479B">
        <w:rPr>
          <w:rFonts w:ascii="Times New Roman" w:hAnsi="Times New Roman"/>
          <w:sz w:val="24"/>
          <w:szCs w:val="24"/>
        </w:rPr>
        <w:t>Zgodnie z projektowanym art. 378a § 1 k.p.k. możliwe jest prowadzenie rozprawy głównej w</w:t>
      </w:r>
      <w:r w:rsidR="002A479B">
        <w:rPr>
          <w:rFonts w:ascii="Times New Roman" w:hAnsi="Times New Roman"/>
          <w:sz w:val="24"/>
          <w:szCs w:val="24"/>
        </w:rPr>
        <w:t> </w:t>
      </w:r>
      <w:r w:rsidRPr="002A479B">
        <w:rPr>
          <w:rFonts w:ascii="Times New Roman" w:hAnsi="Times New Roman"/>
          <w:sz w:val="24"/>
          <w:szCs w:val="24"/>
        </w:rPr>
        <w:t xml:space="preserve">sytuacji, gdy oskarżony czy obrońca </w:t>
      </w:r>
      <w:r w:rsidRPr="002A479B">
        <w:rPr>
          <w:rFonts w:ascii="Times New Roman" w:hAnsi="Times New Roman"/>
          <w:b/>
          <w:sz w:val="24"/>
          <w:szCs w:val="24"/>
        </w:rPr>
        <w:t xml:space="preserve">w ogóle nie wiedzieli o terminie rozprawy głównej, bowiem nie zostali o  niej </w:t>
      </w:r>
      <w:r w:rsidR="008F3C46" w:rsidRPr="002A479B">
        <w:rPr>
          <w:rFonts w:ascii="Times New Roman" w:hAnsi="Times New Roman"/>
          <w:b/>
          <w:sz w:val="24"/>
          <w:szCs w:val="24"/>
        </w:rPr>
        <w:t xml:space="preserve">skutecznie </w:t>
      </w:r>
      <w:r w:rsidRPr="002A479B">
        <w:rPr>
          <w:rFonts w:ascii="Times New Roman" w:hAnsi="Times New Roman"/>
          <w:b/>
          <w:sz w:val="24"/>
          <w:szCs w:val="24"/>
        </w:rPr>
        <w:t>zawiadomieni</w:t>
      </w:r>
      <w:r w:rsidR="00FB2760" w:rsidRPr="002A479B">
        <w:rPr>
          <w:rFonts w:ascii="Times New Roman" w:hAnsi="Times New Roman"/>
          <w:sz w:val="24"/>
          <w:szCs w:val="24"/>
        </w:rPr>
        <w:t xml:space="preserve">. Tego rodzaju regulacja podważa w ogóle sens zawiadamiania obrońcy czy oskarżonego o terminie rozprawy głównej, skoro wobec ich </w:t>
      </w:r>
      <w:r w:rsidR="008F3C46" w:rsidRPr="002A479B">
        <w:rPr>
          <w:rFonts w:ascii="Times New Roman" w:hAnsi="Times New Roman"/>
          <w:sz w:val="24"/>
          <w:szCs w:val="24"/>
        </w:rPr>
        <w:t>nieskutecznego zawiadomienia</w:t>
      </w:r>
      <w:r w:rsidR="00FB2760" w:rsidRPr="002A479B">
        <w:rPr>
          <w:rFonts w:ascii="Times New Roman" w:hAnsi="Times New Roman"/>
          <w:sz w:val="24"/>
          <w:szCs w:val="24"/>
        </w:rPr>
        <w:t xml:space="preserve"> (</w:t>
      </w:r>
      <w:r w:rsidR="008F3C46" w:rsidRPr="002A479B">
        <w:rPr>
          <w:rFonts w:ascii="Times New Roman" w:hAnsi="Times New Roman"/>
          <w:sz w:val="24"/>
          <w:szCs w:val="24"/>
        </w:rPr>
        <w:t>np. zbyt późnego wysłania zawiadomienia</w:t>
      </w:r>
      <w:r w:rsidR="00FB2760" w:rsidRPr="002A479B">
        <w:rPr>
          <w:rFonts w:ascii="Times New Roman" w:hAnsi="Times New Roman"/>
          <w:sz w:val="24"/>
          <w:szCs w:val="24"/>
        </w:rPr>
        <w:t>) sąd może w sposób zupełnie nieskrępowany prowadzić postępowanie dowodowe. Biorąc pod uwagę art. 378a § 2 k.p.k., może to prowadzić do łańcucha terminów rozprawy głównej, o których oskarżony czy jego obrońca nie będą wiedzieli</w:t>
      </w:r>
      <w:r w:rsidR="006F665E" w:rsidRPr="002A479B">
        <w:rPr>
          <w:rFonts w:ascii="Times New Roman" w:hAnsi="Times New Roman"/>
          <w:sz w:val="24"/>
          <w:szCs w:val="24"/>
        </w:rPr>
        <w:t xml:space="preserve">, gdy sąd przeprowadzi kilka terminów rozprawy głównej </w:t>
      </w:r>
      <w:r w:rsidR="006F665E" w:rsidRPr="002A479B">
        <w:rPr>
          <w:rFonts w:ascii="Times New Roman" w:hAnsi="Times New Roman"/>
          <w:b/>
          <w:sz w:val="24"/>
          <w:szCs w:val="24"/>
        </w:rPr>
        <w:t>bez dowodu doręczenia zawiadomienia oskarżonemu czy jego obrońcy, do czego bę</w:t>
      </w:r>
      <w:r w:rsidR="0080209E" w:rsidRPr="002A479B">
        <w:rPr>
          <w:rFonts w:ascii="Times New Roman" w:hAnsi="Times New Roman"/>
          <w:b/>
          <w:sz w:val="24"/>
          <w:szCs w:val="24"/>
        </w:rPr>
        <w:t>dzie zupełnie uprawniony na mocy projektowanego art. 378a § 1 k.p.k.</w:t>
      </w:r>
      <w:r w:rsidR="00D25AB4" w:rsidRPr="002A479B">
        <w:rPr>
          <w:rFonts w:ascii="Times New Roman" w:hAnsi="Times New Roman"/>
          <w:b/>
          <w:sz w:val="24"/>
          <w:szCs w:val="24"/>
        </w:rPr>
        <w:t xml:space="preserve"> </w:t>
      </w:r>
    </w:p>
    <w:p w14:paraId="2FD73230" w14:textId="36159BA8" w:rsidR="00016829" w:rsidRPr="002A479B" w:rsidRDefault="001C42E3" w:rsidP="002A479B">
      <w:pPr>
        <w:spacing w:line="240" w:lineRule="auto"/>
        <w:jc w:val="both"/>
        <w:rPr>
          <w:rFonts w:ascii="Times New Roman" w:hAnsi="Times New Roman"/>
          <w:sz w:val="24"/>
          <w:szCs w:val="24"/>
        </w:rPr>
      </w:pPr>
      <w:r w:rsidRPr="002A479B">
        <w:rPr>
          <w:rFonts w:ascii="Times New Roman" w:hAnsi="Times New Roman"/>
          <w:sz w:val="24"/>
          <w:szCs w:val="24"/>
        </w:rPr>
        <w:lastRenderedPageBreak/>
        <w:t>Czytamy w uzasadnieniu projektu, że „W ocenie projektodawcy nie budzi wątpliwości, że w</w:t>
      </w:r>
      <w:r w:rsidR="002A479B">
        <w:rPr>
          <w:rFonts w:ascii="Times New Roman" w:hAnsi="Times New Roman"/>
          <w:sz w:val="24"/>
          <w:szCs w:val="24"/>
        </w:rPr>
        <w:t> </w:t>
      </w:r>
      <w:r w:rsidRPr="002A479B">
        <w:rPr>
          <w:rFonts w:ascii="Times New Roman" w:hAnsi="Times New Roman"/>
          <w:sz w:val="24"/>
          <w:szCs w:val="24"/>
        </w:rPr>
        <w:t>razie usprawiedliwionego niestawiennictwa na rozprawie uprawnionych osób, nie można jej dalej kontynuować i powinna ona ulec odroczeniu lub przerwaniu. Nie znaczy to jednak, by można było wykluczyć w takim wypadku jedynie przeprowadzenie dowodów, zwłaszcza przesłuchując osoby, które stawiły się na rozprawę.” Godzi się zauważyć, że te zdania pozostają ze sobą w oczywistej sprzeczności – nie sposób pogodzić konieczności przerwania czy odroczenia rozprawy wobec usprawiedliwionego niestawiennictwa obrońcy czy oskarżonego z</w:t>
      </w:r>
      <w:r w:rsidR="002A479B">
        <w:rPr>
          <w:rFonts w:ascii="Times New Roman" w:hAnsi="Times New Roman"/>
          <w:sz w:val="24"/>
          <w:szCs w:val="24"/>
        </w:rPr>
        <w:t> </w:t>
      </w:r>
      <w:r w:rsidRPr="002A479B">
        <w:rPr>
          <w:rFonts w:ascii="Times New Roman" w:hAnsi="Times New Roman"/>
          <w:sz w:val="24"/>
          <w:szCs w:val="24"/>
        </w:rPr>
        <w:t xml:space="preserve">przyzwoleniem na </w:t>
      </w:r>
      <w:r w:rsidR="00493C52" w:rsidRPr="002A479B">
        <w:rPr>
          <w:rFonts w:ascii="Times New Roman" w:hAnsi="Times New Roman"/>
          <w:sz w:val="24"/>
          <w:szCs w:val="24"/>
        </w:rPr>
        <w:t>prowadzenie w takiej sytuacji postępowania dowodowego.</w:t>
      </w:r>
    </w:p>
    <w:p w14:paraId="5ADA2219" w14:textId="5B8277B5" w:rsidR="00016829" w:rsidRPr="002A479B" w:rsidRDefault="00016829"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Na podstawie projektowanego art. 378a § 3 i 5 k.p.k. strona bierna będzie miała możliwość złożenia wniosku o ponowne, </w:t>
      </w:r>
      <w:r w:rsidRPr="002A479B">
        <w:rPr>
          <w:rFonts w:ascii="Times New Roman" w:hAnsi="Times New Roman"/>
          <w:b/>
          <w:sz w:val="24"/>
          <w:szCs w:val="24"/>
        </w:rPr>
        <w:t xml:space="preserve">uzupełniające przesłuchanie </w:t>
      </w:r>
      <w:r w:rsidRPr="002A479B">
        <w:rPr>
          <w:rFonts w:ascii="Times New Roman" w:hAnsi="Times New Roman"/>
          <w:sz w:val="24"/>
          <w:szCs w:val="24"/>
        </w:rPr>
        <w:t xml:space="preserve">świadków, tylko jeżeli wykaże, że </w:t>
      </w:r>
      <w:r w:rsidRPr="002A479B">
        <w:rPr>
          <w:rFonts w:ascii="Times New Roman" w:hAnsi="Times New Roman"/>
          <w:b/>
          <w:sz w:val="24"/>
          <w:szCs w:val="24"/>
        </w:rPr>
        <w:t>doszło do naruszenia gwarancji procesowych</w:t>
      </w:r>
      <w:r w:rsidR="00D17AFA" w:rsidRPr="002A479B">
        <w:rPr>
          <w:rFonts w:ascii="Times New Roman" w:hAnsi="Times New Roman"/>
          <w:b/>
          <w:sz w:val="24"/>
          <w:szCs w:val="24"/>
        </w:rPr>
        <w:t xml:space="preserve">, w szczególności prawa do obrony. </w:t>
      </w:r>
      <w:r w:rsidR="00D17AFA" w:rsidRPr="002A479B">
        <w:rPr>
          <w:rFonts w:ascii="Times New Roman" w:hAnsi="Times New Roman"/>
          <w:sz w:val="24"/>
          <w:szCs w:val="24"/>
        </w:rPr>
        <w:t xml:space="preserve">Konstrukcja ta wykazuje </w:t>
      </w:r>
      <w:r w:rsidR="00D17AFA" w:rsidRPr="002A479B">
        <w:rPr>
          <w:rFonts w:ascii="Times New Roman" w:hAnsi="Times New Roman"/>
          <w:b/>
          <w:sz w:val="24"/>
          <w:szCs w:val="24"/>
        </w:rPr>
        <w:t>absolutne niezrozumienie przez projektodawcę istoty gwarancji procesowych oskarżonego (podejrzanego)</w:t>
      </w:r>
      <w:r w:rsidR="00535BD1" w:rsidRPr="002A479B">
        <w:rPr>
          <w:rFonts w:ascii="Times New Roman" w:hAnsi="Times New Roman"/>
          <w:b/>
          <w:sz w:val="24"/>
          <w:szCs w:val="24"/>
        </w:rPr>
        <w:t xml:space="preserve">, </w:t>
      </w:r>
      <w:r w:rsidR="00535BD1" w:rsidRPr="002A479B">
        <w:rPr>
          <w:rFonts w:ascii="Times New Roman" w:hAnsi="Times New Roman"/>
          <w:sz w:val="24"/>
          <w:szCs w:val="24"/>
        </w:rPr>
        <w:t xml:space="preserve">które </w:t>
      </w:r>
      <w:r w:rsidR="00535BD1" w:rsidRPr="002A479B">
        <w:rPr>
          <w:rFonts w:ascii="Times New Roman" w:hAnsi="Times New Roman"/>
          <w:b/>
          <w:sz w:val="24"/>
          <w:szCs w:val="24"/>
        </w:rPr>
        <w:t xml:space="preserve">będą naruszone zawsze, gdy sąd będzie prowadził postępowanie dowodowe (przesłuchiwał świadków) pod nieobecność strony biernej czy obrońcy. </w:t>
      </w:r>
      <w:r w:rsidR="008F3C46" w:rsidRPr="002A479B">
        <w:rPr>
          <w:rFonts w:ascii="Times New Roman" w:hAnsi="Times New Roman"/>
          <w:sz w:val="24"/>
          <w:szCs w:val="24"/>
        </w:rPr>
        <w:t>Niezależnie od tego, jak ukształtowałaby się praktyka stosowania tego przepisu (tj. czy regułą stałoby się ponowne wzywanie świadka pryz złożeniu wniosku o</w:t>
      </w:r>
      <w:r w:rsidR="002A479B">
        <w:rPr>
          <w:rFonts w:ascii="Times New Roman" w:hAnsi="Times New Roman"/>
          <w:sz w:val="24"/>
          <w:szCs w:val="24"/>
        </w:rPr>
        <w:t> </w:t>
      </w:r>
      <w:r w:rsidR="008F3C46" w:rsidRPr="002A479B">
        <w:rPr>
          <w:rFonts w:ascii="Times New Roman" w:hAnsi="Times New Roman"/>
          <w:sz w:val="24"/>
          <w:szCs w:val="24"/>
        </w:rPr>
        <w:t>uzupełniające przeprowadzenie dowodu</w:t>
      </w:r>
      <w:r w:rsidR="00676674" w:rsidRPr="002A479B">
        <w:rPr>
          <w:rFonts w:ascii="Times New Roman" w:hAnsi="Times New Roman"/>
          <w:sz w:val="24"/>
          <w:szCs w:val="24"/>
        </w:rPr>
        <w:t>,</w:t>
      </w:r>
      <w:r w:rsidR="008F3C46" w:rsidRPr="002A479B">
        <w:rPr>
          <w:rFonts w:ascii="Times New Roman" w:hAnsi="Times New Roman"/>
          <w:sz w:val="24"/>
          <w:szCs w:val="24"/>
        </w:rPr>
        <w:t xml:space="preserve"> czy też świadek byłby wzywany jedynie w</w:t>
      </w:r>
      <w:r w:rsidR="002A479B">
        <w:rPr>
          <w:rFonts w:ascii="Times New Roman" w:hAnsi="Times New Roman"/>
          <w:sz w:val="24"/>
          <w:szCs w:val="24"/>
        </w:rPr>
        <w:t> </w:t>
      </w:r>
      <w:r w:rsidR="008F3C46" w:rsidRPr="002A479B">
        <w:rPr>
          <w:rFonts w:ascii="Times New Roman" w:hAnsi="Times New Roman"/>
          <w:sz w:val="24"/>
          <w:szCs w:val="24"/>
        </w:rPr>
        <w:t xml:space="preserve">wyjątkowych sytuacjach) </w:t>
      </w:r>
      <w:r w:rsidR="00C62209" w:rsidRPr="002A479B">
        <w:rPr>
          <w:rFonts w:ascii="Times New Roman" w:hAnsi="Times New Roman"/>
          <w:sz w:val="24"/>
          <w:szCs w:val="24"/>
        </w:rPr>
        <w:t>świadek stawiając się ponownie celem złożenia zeznań miałby już wiedzę o przedmiocie postępowania, mógłby uzyskać kontakt z innymi osobami posiadającymi taką wiedzę czy w inny sposób próbować zweryfikować posiadane informacje. Tym samym  jego zeznania nie będą miały waloru zeznań nieobarczonych wiedzą z innych źródeł. Ponadto świadek będzie mógł się po prostu przygotować na zeznania, co jest szczególnie istotne z</w:t>
      </w:r>
      <w:r w:rsidR="002A479B">
        <w:rPr>
          <w:rFonts w:ascii="Times New Roman" w:hAnsi="Times New Roman"/>
          <w:sz w:val="24"/>
          <w:szCs w:val="24"/>
        </w:rPr>
        <w:t> </w:t>
      </w:r>
      <w:r w:rsidR="00C62209" w:rsidRPr="002A479B">
        <w:rPr>
          <w:rFonts w:ascii="Times New Roman" w:hAnsi="Times New Roman"/>
          <w:sz w:val="24"/>
          <w:szCs w:val="24"/>
        </w:rPr>
        <w:t>punktu widzenia przesłuchania świadków oskarżenia. Niezależnie</w:t>
      </w:r>
      <w:r w:rsidR="00AB4C95" w:rsidRPr="002A479B">
        <w:rPr>
          <w:rFonts w:ascii="Times New Roman" w:hAnsi="Times New Roman"/>
          <w:sz w:val="24"/>
          <w:szCs w:val="24"/>
        </w:rPr>
        <w:t>,</w:t>
      </w:r>
      <w:r w:rsidR="00C62209" w:rsidRPr="002A479B">
        <w:rPr>
          <w:rFonts w:ascii="Times New Roman" w:hAnsi="Times New Roman"/>
          <w:sz w:val="24"/>
          <w:szCs w:val="24"/>
        </w:rPr>
        <w:t xml:space="preserve"> we wniosku o</w:t>
      </w:r>
      <w:r w:rsidR="002A479B">
        <w:rPr>
          <w:rFonts w:ascii="Times New Roman" w:hAnsi="Times New Roman"/>
          <w:sz w:val="24"/>
          <w:szCs w:val="24"/>
        </w:rPr>
        <w:t> </w:t>
      </w:r>
      <w:r w:rsidR="00C62209" w:rsidRPr="002A479B">
        <w:rPr>
          <w:rFonts w:ascii="Times New Roman" w:hAnsi="Times New Roman"/>
          <w:sz w:val="24"/>
          <w:szCs w:val="24"/>
        </w:rPr>
        <w:t xml:space="preserve">uzupełniające przeprowadzenie dowodu, celem uzasadnienia go, obrońca czy też oskarżony będą zmuszeni wyjawić z wyprzedzeniem swoją strategię przesłuchania świadka a być </w:t>
      </w:r>
      <w:r w:rsidR="002A479B">
        <w:rPr>
          <w:rFonts w:ascii="Times New Roman" w:hAnsi="Times New Roman"/>
          <w:sz w:val="24"/>
          <w:szCs w:val="24"/>
        </w:rPr>
        <w:br/>
      </w:r>
      <w:r w:rsidR="00C62209" w:rsidRPr="002A479B">
        <w:rPr>
          <w:rFonts w:ascii="Times New Roman" w:hAnsi="Times New Roman"/>
          <w:sz w:val="24"/>
          <w:szCs w:val="24"/>
        </w:rPr>
        <w:t>może i prowadzenia sprawy, co umożliwi przygotowanie się przez stronę przeciwną zawczasu</w:t>
      </w:r>
      <w:r w:rsidR="000359E9" w:rsidRPr="002A479B">
        <w:rPr>
          <w:rFonts w:ascii="Times New Roman" w:hAnsi="Times New Roman"/>
          <w:sz w:val="24"/>
          <w:szCs w:val="24"/>
        </w:rPr>
        <w:t xml:space="preserve"> (w przeciwieństwie do przypadku pierwszego przesłuchania świadka)</w:t>
      </w:r>
      <w:r w:rsidR="00C62209" w:rsidRPr="002A479B">
        <w:rPr>
          <w:rFonts w:ascii="Times New Roman" w:hAnsi="Times New Roman"/>
          <w:sz w:val="24"/>
          <w:szCs w:val="24"/>
        </w:rPr>
        <w:t>. Tym samym, w</w:t>
      </w:r>
      <w:r w:rsidR="002A479B">
        <w:rPr>
          <w:rFonts w:ascii="Times New Roman" w:hAnsi="Times New Roman"/>
          <w:sz w:val="24"/>
          <w:szCs w:val="24"/>
        </w:rPr>
        <w:t> </w:t>
      </w:r>
      <w:r w:rsidR="00C62209" w:rsidRPr="002A479B">
        <w:rPr>
          <w:rFonts w:ascii="Times New Roman" w:hAnsi="Times New Roman"/>
          <w:sz w:val="24"/>
          <w:szCs w:val="24"/>
        </w:rPr>
        <w:t xml:space="preserve">konsekwencji, wprowadzone regulacje naruszają również zasadę równości stron. </w:t>
      </w:r>
    </w:p>
    <w:p w14:paraId="453F885D" w14:textId="3B248B93" w:rsidR="00922B2A" w:rsidRPr="002A479B" w:rsidRDefault="00922B2A" w:rsidP="002A479B">
      <w:pPr>
        <w:spacing w:line="240" w:lineRule="auto"/>
        <w:jc w:val="both"/>
        <w:rPr>
          <w:rFonts w:ascii="Times New Roman" w:hAnsi="Times New Roman"/>
          <w:sz w:val="24"/>
          <w:szCs w:val="24"/>
        </w:rPr>
      </w:pPr>
      <w:r w:rsidRPr="002A479B">
        <w:rPr>
          <w:rFonts w:ascii="Times New Roman" w:hAnsi="Times New Roman"/>
          <w:sz w:val="24"/>
          <w:szCs w:val="24"/>
        </w:rPr>
        <w:t>W uzasadnieniu projektu czytamy, że analogiczne rozwiązanie znane jest ustawie normującej postępowanie w sprawach o wykroczenia</w:t>
      </w:r>
      <w:r w:rsidR="00776042" w:rsidRPr="002A479B">
        <w:rPr>
          <w:rFonts w:ascii="Times New Roman" w:hAnsi="Times New Roman"/>
          <w:sz w:val="24"/>
          <w:szCs w:val="24"/>
        </w:rPr>
        <w:t xml:space="preserve">, w art. 71 § 1 </w:t>
      </w:r>
      <w:proofErr w:type="spellStart"/>
      <w:r w:rsidR="00776042" w:rsidRPr="002A479B">
        <w:rPr>
          <w:rFonts w:ascii="Times New Roman" w:hAnsi="Times New Roman"/>
          <w:sz w:val="24"/>
          <w:szCs w:val="24"/>
        </w:rPr>
        <w:t>k.p.o.w</w:t>
      </w:r>
      <w:proofErr w:type="spellEnd"/>
      <w:r w:rsidRPr="002A479B">
        <w:rPr>
          <w:rFonts w:ascii="Times New Roman" w:hAnsi="Times New Roman"/>
          <w:sz w:val="24"/>
          <w:szCs w:val="24"/>
        </w:rPr>
        <w:t>. Poza marginesem rozważań pozostawiając ciężar gatunkowy tych spraw, wskazać należy, że nawet jeśli sąd zdecyduje się (w postępowaniu w sprawie o  wykroczenie) przesłuchiwać świadków pod nieobecność obwinionego czy jego obrońcy</w:t>
      </w:r>
      <w:r w:rsidR="00776042" w:rsidRPr="002A479B">
        <w:rPr>
          <w:rFonts w:ascii="Times New Roman" w:hAnsi="Times New Roman"/>
          <w:sz w:val="24"/>
          <w:szCs w:val="24"/>
        </w:rPr>
        <w:t xml:space="preserve"> (co jest wyjątkiem, zasadą jest odroczenie rozprawy)</w:t>
      </w:r>
      <w:r w:rsidRPr="002A479B">
        <w:rPr>
          <w:rFonts w:ascii="Times New Roman" w:hAnsi="Times New Roman"/>
          <w:sz w:val="24"/>
          <w:szCs w:val="24"/>
        </w:rPr>
        <w:t xml:space="preserve">, to </w:t>
      </w:r>
      <w:r w:rsidR="00776042" w:rsidRPr="002A479B">
        <w:rPr>
          <w:rFonts w:ascii="Times New Roman" w:hAnsi="Times New Roman"/>
          <w:sz w:val="24"/>
          <w:szCs w:val="24"/>
        </w:rPr>
        <w:t xml:space="preserve">na żądanie strony nieobecnej (bez żadnych dodatkowych warunków) sąd </w:t>
      </w:r>
      <w:r w:rsidR="00776042" w:rsidRPr="002A479B">
        <w:rPr>
          <w:rFonts w:ascii="Times New Roman" w:hAnsi="Times New Roman"/>
          <w:b/>
          <w:sz w:val="24"/>
          <w:szCs w:val="24"/>
        </w:rPr>
        <w:t>musi przeprowadzić ten dowód ponownie.</w:t>
      </w:r>
    </w:p>
    <w:p w14:paraId="040B6C02" w14:textId="23F9E71D" w:rsidR="00776042" w:rsidRPr="002A479B" w:rsidRDefault="00776042" w:rsidP="002A479B">
      <w:pPr>
        <w:spacing w:line="240" w:lineRule="auto"/>
        <w:jc w:val="both"/>
        <w:rPr>
          <w:rFonts w:ascii="Times New Roman" w:hAnsi="Times New Roman"/>
          <w:sz w:val="24"/>
          <w:szCs w:val="24"/>
        </w:rPr>
      </w:pPr>
      <w:r w:rsidRPr="002A479B">
        <w:rPr>
          <w:rFonts w:ascii="Times New Roman" w:hAnsi="Times New Roman"/>
          <w:sz w:val="24"/>
          <w:szCs w:val="24"/>
        </w:rPr>
        <w:t>Stosowanie takiego rozwiązania w sprawach o wykroczenia może być uzasadnione tym, że:</w:t>
      </w:r>
    </w:p>
    <w:p w14:paraId="4523FC7B" w14:textId="26F156A9" w:rsidR="00776042" w:rsidRPr="002A479B" w:rsidRDefault="00776042" w:rsidP="002A479B">
      <w:pPr>
        <w:pStyle w:val="Akapitzlist"/>
        <w:numPr>
          <w:ilvl w:val="0"/>
          <w:numId w:val="4"/>
        </w:numPr>
        <w:spacing w:line="240" w:lineRule="auto"/>
        <w:jc w:val="both"/>
        <w:rPr>
          <w:rFonts w:ascii="Times New Roman" w:hAnsi="Times New Roman"/>
          <w:sz w:val="24"/>
          <w:szCs w:val="24"/>
        </w:rPr>
      </w:pPr>
      <w:r w:rsidRPr="002A479B">
        <w:rPr>
          <w:rFonts w:ascii="Times New Roman" w:hAnsi="Times New Roman"/>
          <w:sz w:val="24"/>
          <w:szCs w:val="24"/>
        </w:rPr>
        <w:t xml:space="preserve">sprawy te </w:t>
      </w:r>
      <w:r w:rsidR="00364798" w:rsidRPr="002A479B">
        <w:rPr>
          <w:rFonts w:ascii="Times New Roman" w:hAnsi="Times New Roman"/>
          <w:sz w:val="24"/>
          <w:szCs w:val="24"/>
        </w:rPr>
        <w:t>rozpoczynają się w momencie złożenia wniosku o ukaranie, a więc po raz pierwszy świadkowie są przesłuchiwani przez niezależny i niezawisły organ procesowy - sąd, a nie przez prokuratora, który później stanowić ma jedną ze stron postępowania</w:t>
      </w:r>
      <w:r w:rsidR="00EE7902" w:rsidRPr="002A479B">
        <w:rPr>
          <w:rFonts w:ascii="Times New Roman" w:hAnsi="Times New Roman"/>
          <w:sz w:val="24"/>
          <w:szCs w:val="24"/>
        </w:rPr>
        <w:t>;</w:t>
      </w:r>
    </w:p>
    <w:p w14:paraId="56B6700F" w14:textId="1396482C" w:rsidR="00364798" w:rsidRPr="002A479B" w:rsidRDefault="00364798" w:rsidP="002A479B">
      <w:pPr>
        <w:pStyle w:val="Akapitzlist"/>
        <w:numPr>
          <w:ilvl w:val="0"/>
          <w:numId w:val="4"/>
        </w:numPr>
        <w:spacing w:line="240" w:lineRule="auto"/>
        <w:jc w:val="both"/>
        <w:rPr>
          <w:rFonts w:ascii="Times New Roman" w:hAnsi="Times New Roman"/>
          <w:sz w:val="24"/>
          <w:szCs w:val="24"/>
        </w:rPr>
      </w:pPr>
      <w:r w:rsidRPr="002A479B">
        <w:rPr>
          <w:rFonts w:ascii="Times New Roman" w:hAnsi="Times New Roman"/>
          <w:sz w:val="24"/>
          <w:szCs w:val="24"/>
        </w:rPr>
        <w:t>niestawająca strona ma prawo złożyć wniosek o powtórzenie czynności, wniosek ten jest dla sądu wiążący i nie wymaga wykazywania dodatkowych przesłanek do jego uwzględnienia</w:t>
      </w:r>
      <w:r w:rsidR="00EE7902" w:rsidRPr="002A479B">
        <w:rPr>
          <w:rFonts w:ascii="Times New Roman" w:hAnsi="Times New Roman"/>
          <w:sz w:val="24"/>
          <w:szCs w:val="24"/>
        </w:rPr>
        <w:t>;</w:t>
      </w:r>
    </w:p>
    <w:p w14:paraId="6768E236" w14:textId="43F50962" w:rsidR="00364798" w:rsidRPr="002A479B" w:rsidRDefault="00E41D4E" w:rsidP="002A479B">
      <w:pPr>
        <w:pStyle w:val="Akapitzlist"/>
        <w:numPr>
          <w:ilvl w:val="0"/>
          <w:numId w:val="4"/>
        </w:numPr>
        <w:spacing w:line="240" w:lineRule="auto"/>
        <w:jc w:val="both"/>
        <w:rPr>
          <w:rFonts w:ascii="Times New Roman" w:hAnsi="Times New Roman"/>
          <w:sz w:val="24"/>
          <w:szCs w:val="24"/>
        </w:rPr>
      </w:pPr>
      <w:r w:rsidRPr="002A479B">
        <w:rPr>
          <w:rFonts w:ascii="Times New Roman" w:hAnsi="Times New Roman"/>
          <w:sz w:val="24"/>
          <w:szCs w:val="24"/>
        </w:rPr>
        <w:t>ewentualne wydanie nieprawidłowego wyroku w sprawie o wykroczenie nie wiąże się dla obwinionego z tak dotkliwymi skutkami jak wydanie niesłusznego wyroku skazującego za przestępstwo.</w:t>
      </w:r>
    </w:p>
    <w:p w14:paraId="59A4CFCE" w14:textId="5DA708D8" w:rsidR="00E41D4E" w:rsidRPr="002A479B" w:rsidRDefault="00E41D4E" w:rsidP="002A479B">
      <w:pPr>
        <w:spacing w:line="240" w:lineRule="auto"/>
        <w:jc w:val="both"/>
        <w:rPr>
          <w:rFonts w:ascii="Times New Roman" w:hAnsi="Times New Roman"/>
          <w:sz w:val="24"/>
          <w:szCs w:val="24"/>
        </w:rPr>
      </w:pPr>
      <w:r w:rsidRPr="002A479B">
        <w:rPr>
          <w:rFonts w:ascii="Times New Roman" w:hAnsi="Times New Roman"/>
          <w:sz w:val="24"/>
          <w:szCs w:val="24"/>
        </w:rPr>
        <w:lastRenderedPageBreak/>
        <w:t>Wprowadzenie projektowanych zmian doprowadziłoby do sytuacji, gdy osoba obwiniona o</w:t>
      </w:r>
      <w:r w:rsidR="002A479B">
        <w:rPr>
          <w:rFonts w:ascii="Times New Roman" w:hAnsi="Times New Roman"/>
          <w:sz w:val="24"/>
          <w:szCs w:val="24"/>
        </w:rPr>
        <w:t> </w:t>
      </w:r>
      <w:r w:rsidRPr="002A479B">
        <w:rPr>
          <w:rFonts w:ascii="Times New Roman" w:hAnsi="Times New Roman"/>
          <w:sz w:val="24"/>
          <w:szCs w:val="24"/>
        </w:rPr>
        <w:t>wykroczenie w ruchu drogowym cieszyłaby się pełniejszymi gwarancjami procesowymi, niż osoba oskarżona o zbrodnię zabójstwa.</w:t>
      </w:r>
    </w:p>
    <w:p w14:paraId="66EEBE8C" w14:textId="6F7959D4" w:rsidR="00AC31E0" w:rsidRPr="002A479B" w:rsidRDefault="00AC31E0"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Projektowana zmiana jest także zupełnie niespójna z proponowanymi zmianami w zakresie postępowania odwoławczego i ograniczeniu możliwości formułowania zarzutów odwoławczych dotyczących niedostatecznej inicjatywy dowodowej organu procesowego </w:t>
      </w:r>
      <w:r w:rsidR="001850ED" w:rsidRPr="002A479B">
        <w:rPr>
          <w:rFonts w:ascii="Times New Roman" w:hAnsi="Times New Roman"/>
          <w:sz w:val="24"/>
          <w:szCs w:val="24"/>
        </w:rPr>
        <w:t>– zwiększenie kontradyktoryjności rozprawy głównej (skądinąd słuszne) skutkować musi zapewnieniem szerokich gwarancji procesowych w zakresie udziału stron i ich przedstawicieli procesowych w tej rozprawie.</w:t>
      </w:r>
    </w:p>
    <w:p w14:paraId="1D780EFB" w14:textId="06BA90F7" w:rsidR="001850ED" w:rsidRPr="002A479B" w:rsidRDefault="001850ED" w:rsidP="002A479B">
      <w:pPr>
        <w:spacing w:line="240" w:lineRule="auto"/>
        <w:jc w:val="both"/>
        <w:rPr>
          <w:rFonts w:ascii="Times New Roman" w:hAnsi="Times New Roman"/>
          <w:sz w:val="24"/>
          <w:szCs w:val="24"/>
        </w:rPr>
      </w:pPr>
      <w:r w:rsidRPr="002A479B">
        <w:rPr>
          <w:rFonts w:ascii="Times New Roman" w:hAnsi="Times New Roman"/>
          <w:sz w:val="24"/>
          <w:szCs w:val="24"/>
        </w:rPr>
        <w:t>Nie sposób także nie poruszyć kwestii naruszenia zasady równości broni,</w:t>
      </w:r>
      <w:r w:rsidR="00A52BFD" w:rsidRPr="002A479B">
        <w:rPr>
          <w:rFonts w:ascii="Times New Roman" w:hAnsi="Times New Roman"/>
          <w:sz w:val="24"/>
          <w:szCs w:val="24"/>
        </w:rPr>
        <w:t xml:space="preserve"> </w:t>
      </w:r>
      <w:r w:rsidR="00BF1D19" w:rsidRPr="002A479B">
        <w:rPr>
          <w:rFonts w:ascii="Times New Roman" w:hAnsi="Times New Roman"/>
          <w:sz w:val="24"/>
          <w:szCs w:val="24"/>
        </w:rPr>
        <w:t>bowiem</w:t>
      </w:r>
      <w:r w:rsidRPr="002A479B">
        <w:rPr>
          <w:rFonts w:ascii="Times New Roman" w:hAnsi="Times New Roman"/>
          <w:sz w:val="24"/>
          <w:szCs w:val="24"/>
        </w:rPr>
        <w:t xml:space="preserve"> proponowane zapisy art. 378a </w:t>
      </w:r>
      <w:r w:rsidR="00791804" w:rsidRPr="002A479B">
        <w:rPr>
          <w:rFonts w:ascii="Times New Roman" w:hAnsi="Times New Roman"/>
          <w:sz w:val="24"/>
          <w:szCs w:val="24"/>
        </w:rPr>
        <w:t>k.p.k. dotyczą jedynie usprawiedliwionej nieobecności oskarżonego czy obrońcy, a nie pozwalają na procedowanie sądowi w sytuacji, gdy na rozprawę główną nie stawi się prokurator (tam, gdzie jego stawiennictwo jest obowiązkowe).</w:t>
      </w:r>
    </w:p>
    <w:p w14:paraId="7EA19719" w14:textId="03D49200" w:rsidR="00791804" w:rsidRPr="002A479B" w:rsidRDefault="00791804" w:rsidP="002A479B">
      <w:pPr>
        <w:spacing w:line="240" w:lineRule="auto"/>
        <w:jc w:val="both"/>
        <w:rPr>
          <w:rFonts w:ascii="Times New Roman" w:hAnsi="Times New Roman"/>
          <w:sz w:val="24"/>
          <w:szCs w:val="24"/>
        </w:rPr>
      </w:pPr>
      <w:r w:rsidRPr="002A479B">
        <w:rPr>
          <w:rFonts w:ascii="Times New Roman" w:hAnsi="Times New Roman"/>
          <w:sz w:val="24"/>
          <w:szCs w:val="24"/>
        </w:rPr>
        <w:t>Wreszcie, wydaje się, że wprowadzenie projektowanych zmian</w:t>
      </w:r>
      <w:r w:rsidR="00181BD7" w:rsidRPr="002A479B">
        <w:rPr>
          <w:rFonts w:ascii="Times New Roman" w:hAnsi="Times New Roman"/>
          <w:sz w:val="24"/>
          <w:szCs w:val="24"/>
        </w:rPr>
        <w:t>, w zależności od przyjętej interpretacji,</w:t>
      </w:r>
      <w:r w:rsidRPr="002A479B">
        <w:rPr>
          <w:rFonts w:ascii="Times New Roman" w:hAnsi="Times New Roman"/>
          <w:sz w:val="24"/>
          <w:szCs w:val="24"/>
        </w:rPr>
        <w:t xml:space="preserve"> absolutnie zniweczy bezwzględną przesłankę odwoławczą z art. 439 § 1 pkt 11 k.p.k.,</w:t>
      </w:r>
      <w:r w:rsidR="00322C0D" w:rsidRPr="002A479B">
        <w:rPr>
          <w:rFonts w:ascii="Times New Roman" w:hAnsi="Times New Roman"/>
          <w:sz w:val="24"/>
          <w:szCs w:val="24"/>
        </w:rPr>
        <w:t xml:space="preserve"> w sytuacji, gdy rozprawa główna będzie prowadzona pod usprawiedliwioną nieobecność oskarżonego, którego stawiennictwo jest obowiązkowe</w:t>
      </w:r>
      <w:r w:rsidR="00B3411F" w:rsidRPr="002A479B">
        <w:rPr>
          <w:rFonts w:ascii="Times New Roman" w:hAnsi="Times New Roman"/>
          <w:sz w:val="24"/>
          <w:szCs w:val="24"/>
        </w:rPr>
        <w:t xml:space="preserve">, albo obciąży bezwzględną przesłanką odwoławczą każdą sprawę, w której sąd sięgnie po projektowany art. 378a k.p.k., w której stawiennictwo </w:t>
      </w:r>
      <w:r w:rsidR="007C6E69" w:rsidRPr="002A479B">
        <w:rPr>
          <w:rFonts w:ascii="Times New Roman" w:hAnsi="Times New Roman"/>
          <w:sz w:val="24"/>
          <w:szCs w:val="24"/>
        </w:rPr>
        <w:t>oskarżonego</w:t>
      </w:r>
      <w:r w:rsidR="00B3411F" w:rsidRPr="002A479B">
        <w:rPr>
          <w:rFonts w:ascii="Times New Roman" w:hAnsi="Times New Roman"/>
          <w:sz w:val="24"/>
          <w:szCs w:val="24"/>
        </w:rPr>
        <w:t xml:space="preserve"> będzie obowiązkowe</w:t>
      </w:r>
      <w:r w:rsidR="00181BD7" w:rsidRPr="002A479B">
        <w:rPr>
          <w:rFonts w:ascii="Times New Roman" w:hAnsi="Times New Roman"/>
          <w:sz w:val="24"/>
          <w:szCs w:val="24"/>
        </w:rPr>
        <w:t xml:space="preserve"> (w zakresie bezwzględnych przesłanek odwoławczych projektodawca przecież nie proponuje żadnych zmian).</w:t>
      </w:r>
      <w:r w:rsidR="00B3411F" w:rsidRPr="002A479B">
        <w:rPr>
          <w:rFonts w:ascii="Times New Roman" w:hAnsi="Times New Roman"/>
          <w:sz w:val="24"/>
          <w:szCs w:val="24"/>
        </w:rPr>
        <w:t xml:space="preserve"> Analogiczna sytuacja będzie dotyczyć usprawiedliwionej nieobecności obrońcy i procedowania sądu mimo to, w</w:t>
      </w:r>
      <w:r w:rsidR="002A479B">
        <w:rPr>
          <w:rFonts w:ascii="Times New Roman" w:hAnsi="Times New Roman"/>
          <w:sz w:val="24"/>
          <w:szCs w:val="24"/>
        </w:rPr>
        <w:t> </w:t>
      </w:r>
      <w:r w:rsidR="00B3411F" w:rsidRPr="002A479B">
        <w:rPr>
          <w:rFonts w:ascii="Times New Roman" w:hAnsi="Times New Roman"/>
          <w:sz w:val="24"/>
          <w:szCs w:val="24"/>
        </w:rPr>
        <w:t>kontekście art. 439 § 1 pkt 10 k.p.k.</w:t>
      </w:r>
    </w:p>
    <w:p w14:paraId="24D7DD20" w14:textId="39F9DD6E" w:rsidR="002F0B21" w:rsidRPr="002A479B" w:rsidRDefault="001D46AB"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Ostatecznie należy zwrócić uwagę, iż zgodnie zaś z art. 8 ust. 1 Dyrektywy Parlamentu Europejskiego i Rady (UE) 2016/343 z dnia 9 marca 2016 r. w sprawie wzmocnienia niektórych aspektów domniemania niewinności i prawa do obecności na rozprawie w postępowaniu karnym, Państwa członkowskie zapewniają podejrzanym lub oskarżonym prawo do obecności na rozprawie. </w:t>
      </w:r>
      <w:r w:rsidR="00BF1D19" w:rsidRPr="002A479B">
        <w:rPr>
          <w:rFonts w:ascii="Times New Roman" w:hAnsi="Times New Roman"/>
          <w:sz w:val="24"/>
          <w:szCs w:val="24"/>
        </w:rPr>
        <w:t xml:space="preserve">Uzasadnienie omawianego </w:t>
      </w:r>
      <w:r w:rsidRPr="002A479B">
        <w:rPr>
          <w:rFonts w:ascii="Times New Roman" w:hAnsi="Times New Roman"/>
          <w:sz w:val="24"/>
          <w:szCs w:val="24"/>
        </w:rPr>
        <w:t>projekt</w:t>
      </w:r>
      <w:r w:rsidR="00BF1D19" w:rsidRPr="002A479B">
        <w:rPr>
          <w:rFonts w:ascii="Times New Roman" w:hAnsi="Times New Roman"/>
          <w:sz w:val="24"/>
          <w:szCs w:val="24"/>
        </w:rPr>
        <w:t>u</w:t>
      </w:r>
      <w:r w:rsidRPr="002A479B">
        <w:rPr>
          <w:rFonts w:ascii="Times New Roman" w:hAnsi="Times New Roman"/>
          <w:sz w:val="24"/>
          <w:szCs w:val="24"/>
        </w:rPr>
        <w:t xml:space="preserve"> wskazuje, że </w:t>
      </w:r>
      <w:r w:rsidR="00135E87" w:rsidRPr="002A479B">
        <w:rPr>
          <w:rFonts w:ascii="Times New Roman" w:hAnsi="Times New Roman"/>
          <w:sz w:val="24"/>
          <w:szCs w:val="24"/>
        </w:rPr>
        <w:t>odnosi się on do ww. dyrektywy, le</w:t>
      </w:r>
      <w:r w:rsidR="00FF240A" w:rsidRPr="002A479B">
        <w:rPr>
          <w:rFonts w:ascii="Times New Roman" w:hAnsi="Times New Roman"/>
          <w:sz w:val="24"/>
          <w:szCs w:val="24"/>
        </w:rPr>
        <w:t>cz dyrektywa ta nie wymaga wdrożenia, gdyż przepisy zapewniają realizację jej postanowień. Jednakże</w:t>
      </w:r>
      <w:r w:rsidR="00955DD5" w:rsidRPr="002A479B">
        <w:rPr>
          <w:rFonts w:ascii="Times New Roman" w:hAnsi="Times New Roman"/>
          <w:sz w:val="24"/>
          <w:szCs w:val="24"/>
        </w:rPr>
        <w:t xml:space="preserve"> proponowana zmiana dotycząca obecności na rozprawie oskarżonego zaprzecza takiemu stwierdzeniu. </w:t>
      </w:r>
    </w:p>
    <w:p w14:paraId="0690DCA6" w14:textId="77777777" w:rsidR="00375CED" w:rsidRPr="002A479B" w:rsidRDefault="00150A3A" w:rsidP="002A479B">
      <w:pPr>
        <w:pStyle w:val="Akapitzlist"/>
        <w:numPr>
          <w:ilvl w:val="0"/>
          <w:numId w:val="3"/>
        </w:numPr>
        <w:spacing w:line="240" w:lineRule="auto"/>
        <w:jc w:val="both"/>
        <w:rPr>
          <w:rFonts w:ascii="Times New Roman" w:hAnsi="Times New Roman"/>
          <w:b/>
          <w:sz w:val="24"/>
          <w:szCs w:val="24"/>
        </w:rPr>
      </w:pPr>
      <w:r w:rsidRPr="002A479B">
        <w:rPr>
          <w:rFonts w:ascii="Times New Roman" w:hAnsi="Times New Roman"/>
          <w:b/>
          <w:sz w:val="24"/>
          <w:szCs w:val="24"/>
        </w:rPr>
        <w:t xml:space="preserve">Pozostałe kwestie </w:t>
      </w:r>
      <w:r w:rsidR="004E2A01" w:rsidRPr="002A479B">
        <w:rPr>
          <w:rFonts w:ascii="Times New Roman" w:hAnsi="Times New Roman"/>
          <w:b/>
          <w:sz w:val="24"/>
          <w:szCs w:val="24"/>
        </w:rPr>
        <w:t>procesowe.</w:t>
      </w:r>
    </w:p>
    <w:p w14:paraId="51FC35D6" w14:textId="3354A818" w:rsidR="007427BB" w:rsidRPr="002A479B" w:rsidRDefault="007427BB" w:rsidP="002A479B">
      <w:pPr>
        <w:spacing w:line="240" w:lineRule="auto"/>
        <w:jc w:val="both"/>
        <w:rPr>
          <w:rFonts w:ascii="Times New Roman" w:hAnsi="Times New Roman"/>
          <w:sz w:val="24"/>
          <w:szCs w:val="24"/>
        </w:rPr>
      </w:pPr>
      <w:r w:rsidRPr="002A479B">
        <w:rPr>
          <w:rFonts w:ascii="Times New Roman" w:hAnsi="Times New Roman"/>
          <w:sz w:val="24"/>
          <w:szCs w:val="24"/>
        </w:rPr>
        <w:t>Generalnie</w:t>
      </w:r>
      <w:r w:rsidR="0027277B" w:rsidRPr="002A479B">
        <w:rPr>
          <w:rFonts w:ascii="Times New Roman" w:hAnsi="Times New Roman"/>
          <w:sz w:val="24"/>
          <w:szCs w:val="24"/>
        </w:rPr>
        <w:t>,</w:t>
      </w:r>
      <w:r w:rsidRPr="002A479B">
        <w:rPr>
          <w:rFonts w:ascii="Times New Roman" w:hAnsi="Times New Roman"/>
          <w:sz w:val="24"/>
          <w:szCs w:val="24"/>
        </w:rPr>
        <w:t xml:space="preserve"> wprowadzone zmiany dotyczące pokrzywdzonego </w:t>
      </w:r>
      <w:r w:rsidR="00342FE7" w:rsidRPr="002A479B">
        <w:rPr>
          <w:rFonts w:ascii="Times New Roman" w:hAnsi="Times New Roman"/>
          <w:sz w:val="24"/>
          <w:szCs w:val="24"/>
        </w:rPr>
        <w:t>umożliwiają</w:t>
      </w:r>
      <w:r w:rsidRPr="002A479B">
        <w:rPr>
          <w:rFonts w:ascii="Times New Roman" w:hAnsi="Times New Roman"/>
          <w:sz w:val="24"/>
          <w:szCs w:val="24"/>
        </w:rPr>
        <w:t xml:space="preserve"> odstąpieni</w:t>
      </w:r>
      <w:r w:rsidR="00342FE7" w:rsidRPr="002A479B">
        <w:rPr>
          <w:rFonts w:ascii="Times New Roman" w:hAnsi="Times New Roman"/>
          <w:sz w:val="24"/>
          <w:szCs w:val="24"/>
        </w:rPr>
        <w:t>e</w:t>
      </w:r>
      <w:r w:rsidRPr="002A479B">
        <w:rPr>
          <w:rFonts w:ascii="Times New Roman" w:hAnsi="Times New Roman"/>
          <w:sz w:val="24"/>
          <w:szCs w:val="24"/>
        </w:rPr>
        <w:t xml:space="preserve"> od jego przesłuchania, a także </w:t>
      </w:r>
      <w:r w:rsidR="00342FE7" w:rsidRPr="002A479B">
        <w:rPr>
          <w:rFonts w:ascii="Times New Roman" w:hAnsi="Times New Roman"/>
          <w:sz w:val="24"/>
          <w:szCs w:val="24"/>
        </w:rPr>
        <w:t>wprowadzają</w:t>
      </w:r>
      <w:r w:rsidRPr="002A479B">
        <w:rPr>
          <w:rFonts w:ascii="Times New Roman" w:hAnsi="Times New Roman"/>
          <w:sz w:val="24"/>
          <w:szCs w:val="24"/>
        </w:rPr>
        <w:t xml:space="preserve"> zmian</w:t>
      </w:r>
      <w:r w:rsidR="00342FE7" w:rsidRPr="002A479B">
        <w:rPr>
          <w:rFonts w:ascii="Times New Roman" w:hAnsi="Times New Roman"/>
          <w:sz w:val="24"/>
          <w:szCs w:val="24"/>
        </w:rPr>
        <w:t>y</w:t>
      </w:r>
      <w:r w:rsidRPr="002A479B">
        <w:rPr>
          <w:rFonts w:ascii="Times New Roman" w:hAnsi="Times New Roman"/>
          <w:sz w:val="24"/>
          <w:szCs w:val="24"/>
        </w:rPr>
        <w:t xml:space="preserve"> </w:t>
      </w:r>
      <w:r w:rsidR="00342FE7" w:rsidRPr="002A479B">
        <w:rPr>
          <w:rFonts w:ascii="Times New Roman" w:hAnsi="Times New Roman"/>
          <w:sz w:val="24"/>
          <w:szCs w:val="24"/>
        </w:rPr>
        <w:t>w zakresie</w:t>
      </w:r>
      <w:r w:rsidRPr="002A479B">
        <w:rPr>
          <w:rFonts w:ascii="Times New Roman" w:hAnsi="Times New Roman"/>
          <w:sz w:val="24"/>
          <w:szCs w:val="24"/>
        </w:rPr>
        <w:t xml:space="preserve"> postępowania z subsydiarnego aktu oskarżenia. </w:t>
      </w:r>
      <w:r w:rsidR="00342FE7" w:rsidRPr="002A479B">
        <w:rPr>
          <w:rFonts w:ascii="Times New Roman" w:hAnsi="Times New Roman"/>
          <w:sz w:val="24"/>
          <w:szCs w:val="24"/>
        </w:rPr>
        <w:t>Co do</w:t>
      </w:r>
      <w:r w:rsidR="00823660" w:rsidRPr="002A479B">
        <w:rPr>
          <w:rFonts w:ascii="Times New Roman" w:hAnsi="Times New Roman"/>
          <w:sz w:val="24"/>
          <w:szCs w:val="24"/>
        </w:rPr>
        <w:t xml:space="preserve"> przesłuchania pokrzywdzonego proponuje się, aby możliwe było odstąpienie od jego przesłuchania, jeżeli czynność ta nie jest niezbędna dla dokonania ustaleń faktycznych. Jedocześnie, w sytuacji, w której pokrzywdzony zgłasza żądanie przesłuchania go, dokonuje się tej czynności chyba, że uwzględnienie tego żądania prowadziłoby do przewlekłości postępowania. Rozwiązanie to ma umożliwić sprawniejsze przeprowadzenie postępowania przygotowawczego, szczególnie w sytuacji, w której występuje wielość osób pokrzywdzonych. O ile kierunek generalnie jest pożądany, o tyle zastanowić należy się czy zaproponowane rozwiązanie pozwoli osiągnąć zamierzony cel. Organ </w:t>
      </w:r>
      <w:r w:rsidR="001F0C6D" w:rsidRPr="002A479B">
        <w:rPr>
          <w:rFonts w:ascii="Times New Roman" w:hAnsi="Times New Roman"/>
          <w:sz w:val="24"/>
          <w:szCs w:val="24"/>
        </w:rPr>
        <w:t>niekoniecznie bowiem ma</w:t>
      </w:r>
      <w:r w:rsidR="00823660" w:rsidRPr="002A479B">
        <w:rPr>
          <w:rFonts w:ascii="Times New Roman" w:hAnsi="Times New Roman"/>
          <w:sz w:val="24"/>
          <w:szCs w:val="24"/>
        </w:rPr>
        <w:t xml:space="preserve"> rozeznanie</w:t>
      </w:r>
      <w:r w:rsidR="001F0C6D" w:rsidRPr="002A479B">
        <w:rPr>
          <w:rFonts w:ascii="Times New Roman" w:hAnsi="Times New Roman"/>
          <w:sz w:val="24"/>
          <w:szCs w:val="24"/>
        </w:rPr>
        <w:t>,</w:t>
      </w:r>
      <w:r w:rsidR="00823660" w:rsidRPr="002A479B">
        <w:rPr>
          <w:rFonts w:ascii="Times New Roman" w:hAnsi="Times New Roman"/>
          <w:sz w:val="24"/>
          <w:szCs w:val="24"/>
        </w:rPr>
        <w:t xml:space="preserve"> jakie informacje może mieć konkretny pokrzywdzony. Jednocześnie możliwość odmowy uwzględnienia żądania pokrzywdzonego ze względu na przewlekłość postępowania wydaje się być przesłanką na tyle elastyczną, że możliwe jest jej nadużywanie w sytuacji chęci </w:t>
      </w:r>
      <w:r w:rsidR="00023BE0" w:rsidRPr="002A479B">
        <w:rPr>
          <w:rFonts w:ascii="Times New Roman" w:hAnsi="Times New Roman"/>
          <w:sz w:val="24"/>
          <w:szCs w:val="24"/>
        </w:rPr>
        <w:t xml:space="preserve">szybkiego </w:t>
      </w:r>
      <w:r w:rsidR="00823660" w:rsidRPr="002A479B">
        <w:rPr>
          <w:rFonts w:ascii="Times New Roman" w:hAnsi="Times New Roman"/>
          <w:sz w:val="24"/>
          <w:szCs w:val="24"/>
        </w:rPr>
        <w:t>zakończenia sprawy i p</w:t>
      </w:r>
      <w:r w:rsidR="0027277B" w:rsidRPr="002A479B">
        <w:rPr>
          <w:rFonts w:ascii="Times New Roman" w:hAnsi="Times New Roman"/>
          <w:sz w:val="24"/>
          <w:szCs w:val="24"/>
        </w:rPr>
        <w:t xml:space="preserve">rzekonania prokuratora o </w:t>
      </w:r>
      <w:r w:rsidR="00823660" w:rsidRPr="002A479B">
        <w:rPr>
          <w:rFonts w:ascii="Times New Roman" w:hAnsi="Times New Roman"/>
          <w:sz w:val="24"/>
          <w:szCs w:val="24"/>
        </w:rPr>
        <w:t>zebrani</w:t>
      </w:r>
      <w:r w:rsidR="0027277B" w:rsidRPr="002A479B">
        <w:rPr>
          <w:rFonts w:ascii="Times New Roman" w:hAnsi="Times New Roman"/>
          <w:sz w:val="24"/>
          <w:szCs w:val="24"/>
        </w:rPr>
        <w:t>u</w:t>
      </w:r>
      <w:r w:rsidR="00823660" w:rsidRPr="002A479B">
        <w:rPr>
          <w:rFonts w:ascii="Times New Roman" w:hAnsi="Times New Roman"/>
          <w:sz w:val="24"/>
          <w:szCs w:val="24"/>
        </w:rPr>
        <w:t xml:space="preserve"> całego materiału dowodowego </w:t>
      </w:r>
      <w:r w:rsidR="00823660" w:rsidRPr="002A479B">
        <w:rPr>
          <w:rFonts w:ascii="Times New Roman" w:hAnsi="Times New Roman"/>
          <w:sz w:val="24"/>
          <w:szCs w:val="24"/>
        </w:rPr>
        <w:lastRenderedPageBreak/>
        <w:t>w</w:t>
      </w:r>
      <w:r w:rsidR="002A479B">
        <w:rPr>
          <w:rFonts w:ascii="Times New Roman" w:hAnsi="Times New Roman"/>
          <w:sz w:val="24"/>
          <w:szCs w:val="24"/>
        </w:rPr>
        <w:t> </w:t>
      </w:r>
      <w:r w:rsidR="00823660" w:rsidRPr="002A479B">
        <w:rPr>
          <w:rFonts w:ascii="Times New Roman" w:hAnsi="Times New Roman"/>
          <w:sz w:val="24"/>
          <w:szCs w:val="24"/>
        </w:rPr>
        <w:t>sprawie. Tym samym</w:t>
      </w:r>
      <w:r w:rsidR="00023BE0" w:rsidRPr="002A479B">
        <w:rPr>
          <w:rFonts w:ascii="Times New Roman" w:hAnsi="Times New Roman"/>
          <w:sz w:val="24"/>
          <w:szCs w:val="24"/>
        </w:rPr>
        <w:t>,</w:t>
      </w:r>
      <w:r w:rsidR="00823660" w:rsidRPr="002A479B">
        <w:rPr>
          <w:rFonts w:ascii="Times New Roman" w:hAnsi="Times New Roman"/>
          <w:sz w:val="24"/>
          <w:szCs w:val="24"/>
        </w:rPr>
        <w:t xml:space="preserve"> zasadnym byłoby </w:t>
      </w:r>
      <w:r w:rsidR="00067B45" w:rsidRPr="002A479B">
        <w:rPr>
          <w:rFonts w:ascii="Times New Roman" w:hAnsi="Times New Roman"/>
          <w:sz w:val="24"/>
          <w:szCs w:val="24"/>
        </w:rPr>
        <w:t>zobligowanie prokuratora do przesłuchania pokrzywdzonego w sytuacji, w której wnosi on o to</w:t>
      </w:r>
      <w:r w:rsidR="00823660" w:rsidRPr="002A479B">
        <w:rPr>
          <w:rFonts w:ascii="Times New Roman" w:hAnsi="Times New Roman"/>
          <w:sz w:val="24"/>
          <w:szCs w:val="24"/>
        </w:rPr>
        <w:t xml:space="preserve">. </w:t>
      </w:r>
    </w:p>
    <w:p w14:paraId="4A606408" w14:textId="7650537D" w:rsidR="00823660" w:rsidRPr="002A479B" w:rsidRDefault="00823660"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W zakresie subsydiarnego aktu oskarżenia wprowadzono </w:t>
      </w:r>
      <w:r w:rsidR="002B45F9" w:rsidRPr="002A479B">
        <w:rPr>
          <w:rFonts w:ascii="Times New Roman" w:hAnsi="Times New Roman"/>
          <w:sz w:val="24"/>
          <w:szCs w:val="24"/>
        </w:rPr>
        <w:t>zażalenie na ponowne postanowienie o umorzeniu postępowania lub odmowie jego wszczęcia do prokuratora nadrzędnego. W</w:t>
      </w:r>
      <w:r w:rsidR="002A479B">
        <w:rPr>
          <w:rFonts w:ascii="Times New Roman" w:hAnsi="Times New Roman"/>
          <w:sz w:val="24"/>
          <w:szCs w:val="24"/>
        </w:rPr>
        <w:t> </w:t>
      </w:r>
      <w:r w:rsidR="002B45F9" w:rsidRPr="002A479B">
        <w:rPr>
          <w:rFonts w:ascii="Times New Roman" w:hAnsi="Times New Roman"/>
          <w:sz w:val="24"/>
          <w:szCs w:val="24"/>
        </w:rPr>
        <w:t>przypadku utrzymania w mocy przez prokuratora zaskarżonego postanowienia pokrzywdzonemu przysługuje prawo do wniesienia subsydiarnego aktu oskarżenia. W</w:t>
      </w:r>
      <w:r w:rsidR="002A479B">
        <w:rPr>
          <w:rFonts w:ascii="Times New Roman" w:hAnsi="Times New Roman"/>
          <w:sz w:val="24"/>
          <w:szCs w:val="24"/>
        </w:rPr>
        <w:t> </w:t>
      </w:r>
      <w:r w:rsidR="002B45F9" w:rsidRPr="002A479B">
        <w:rPr>
          <w:rFonts w:ascii="Times New Roman" w:hAnsi="Times New Roman"/>
          <w:sz w:val="24"/>
          <w:szCs w:val="24"/>
        </w:rPr>
        <w:t xml:space="preserve">uzasadnieniu projektowanych zmian podnosi się, że ma to zapobiec wnoszeniu subsydiarnego aktu oskarżenia w sytuacjach, w których prokurator nie wykonał podstawowych wytycznych </w:t>
      </w:r>
      <w:r w:rsidR="00612847" w:rsidRPr="002A479B">
        <w:rPr>
          <w:rFonts w:ascii="Times New Roman" w:hAnsi="Times New Roman"/>
          <w:sz w:val="24"/>
          <w:szCs w:val="24"/>
        </w:rPr>
        <w:t>s</w:t>
      </w:r>
      <w:r w:rsidR="002B45F9" w:rsidRPr="002A479B">
        <w:rPr>
          <w:rFonts w:ascii="Times New Roman" w:hAnsi="Times New Roman"/>
          <w:sz w:val="24"/>
          <w:szCs w:val="24"/>
        </w:rPr>
        <w:t>ądu</w:t>
      </w:r>
      <w:r w:rsidR="00612847" w:rsidRPr="002A479B">
        <w:rPr>
          <w:rFonts w:ascii="Times New Roman" w:hAnsi="Times New Roman"/>
          <w:sz w:val="24"/>
          <w:szCs w:val="24"/>
        </w:rPr>
        <w:t xml:space="preserve"> wcześniej uchylającego pierwszą decyzję o umorzeniu postępowania lub odmowie jego wszczęcia</w:t>
      </w:r>
      <w:r w:rsidR="002B45F9" w:rsidRPr="002A479B">
        <w:rPr>
          <w:rFonts w:ascii="Times New Roman" w:hAnsi="Times New Roman"/>
          <w:sz w:val="24"/>
          <w:szCs w:val="24"/>
        </w:rPr>
        <w:t>. Tym samym ma to być instrument umożliwiający sanowanie prostych błędów w ramach prokuratury. Rozwiązanie to chociaż na pierwszy rzut oka może wydawać się zasadne i potrzebne</w:t>
      </w:r>
      <w:r w:rsidR="00612847" w:rsidRPr="002A479B">
        <w:rPr>
          <w:rFonts w:ascii="Times New Roman" w:hAnsi="Times New Roman"/>
          <w:sz w:val="24"/>
          <w:szCs w:val="24"/>
        </w:rPr>
        <w:t>,</w:t>
      </w:r>
      <w:r w:rsidR="002B45F9" w:rsidRPr="002A479B">
        <w:rPr>
          <w:rFonts w:ascii="Times New Roman" w:hAnsi="Times New Roman"/>
          <w:sz w:val="24"/>
          <w:szCs w:val="24"/>
        </w:rPr>
        <w:t xml:space="preserve"> w praktyce prowadzić </w:t>
      </w:r>
      <w:r w:rsidR="00612847" w:rsidRPr="002A479B">
        <w:rPr>
          <w:rFonts w:ascii="Times New Roman" w:hAnsi="Times New Roman"/>
          <w:sz w:val="24"/>
          <w:szCs w:val="24"/>
        </w:rPr>
        <w:t>może</w:t>
      </w:r>
      <w:r w:rsidR="002B45F9" w:rsidRPr="002A479B">
        <w:rPr>
          <w:rFonts w:ascii="Times New Roman" w:hAnsi="Times New Roman"/>
          <w:sz w:val="24"/>
          <w:szCs w:val="24"/>
        </w:rPr>
        <w:t xml:space="preserve"> do przedłużenia postępowań prowadzonych w sposób nieudolny, nieuważny, pobieżny. Brak jest regulacji ograniczających możliwość kolejnych uchyleń zaskarżonego postanowienia przez prokuratora nadrzędnego, co w praktyce może prowadzić do wielokrotnego uchylania post</w:t>
      </w:r>
      <w:r w:rsidR="00DC4219" w:rsidRPr="002A479B">
        <w:rPr>
          <w:rFonts w:ascii="Times New Roman" w:hAnsi="Times New Roman"/>
          <w:sz w:val="24"/>
          <w:szCs w:val="24"/>
        </w:rPr>
        <w:t xml:space="preserve">anowień z powodu </w:t>
      </w:r>
      <w:r w:rsidR="002B45F9" w:rsidRPr="002A479B">
        <w:rPr>
          <w:rFonts w:ascii="Times New Roman" w:hAnsi="Times New Roman"/>
          <w:sz w:val="24"/>
          <w:szCs w:val="24"/>
        </w:rPr>
        <w:t>błahych</w:t>
      </w:r>
      <w:r w:rsidR="00DC4219" w:rsidRPr="002A479B">
        <w:rPr>
          <w:rFonts w:ascii="Times New Roman" w:hAnsi="Times New Roman"/>
          <w:sz w:val="24"/>
          <w:szCs w:val="24"/>
        </w:rPr>
        <w:t xml:space="preserve"> błędów</w:t>
      </w:r>
      <w:r w:rsidR="002B45F9" w:rsidRPr="002A479B">
        <w:rPr>
          <w:rFonts w:ascii="Times New Roman" w:hAnsi="Times New Roman"/>
          <w:sz w:val="24"/>
          <w:szCs w:val="24"/>
        </w:rPr>
        <w:t xml:space="preserve">, a tym samym zniechęcania pokrzywdzonego do angażowania się w postępowanie. </w:t>
      </w:r>
    </w:p>
    <w:p w14:paraId="3E01C32C" w14:textId="2446323E" w:rsidR="00DC4219" w:rsidRPr="002A479B" w:rsidRDefault="00883DAB"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Wprowadzenie regulacji analogicznych do przepisów dotyczących postepowania prywatnoskargowego, a więc </w:t>
      </w:r>
      <w:r w:rsidR="002C3F91" w:rsidRPr="002A479B">
        <w:rPr>
          <w:rFonts w:ascii="Times New Roman" w:hAnsi="Times New Roman"/>
          <w:sz w:val="24"/>
          <w:szCs w:val="24"/>
        </w:rPr>
        <w:t xml:space="preserve">ustalenie, że w przypadku braku udziału oskarżyciela publicznego, niestawiennictwo oskarżyciela posiłkowego i jego pełnomocnika na rozprawie bez usprawiedliwienia uważa się za odstąpienie od oskarżenia </w:t>
      </w:r>
      <w:r w:rsidR="00BC126B" w:rsidRPr="002A479B">
        <w:rPr>
          <w:rFonts w:ascii="Times New Roman" w:hAnsi="Times New Roman"/>
          <w:sz w:val="24"/>
          <w:szCs w:val="24"/>
        </w:rPr>
        <w:t xml:space="preserve">należy co do zasady uznać za słuszne. Wątpliwości budzi jedynie obowiązek stawiennictwa zarówno oskarżyciela jak i jego pełnomocnika. </w:t>
      </w:r>
      <w:r w:rsidR="00AC09E4" w:rsidRPr="002A479B">
        <w:rPr>
          <w:rFonts w:ascii="Times New Roman" w:hAnsi="Times New Roman"/>
          <w:sz w:val="24"/>
          <w:szCs w:val="24"/>
        </w:rPr>
        <w:t>S</w:t>
      </w:r>
      <w:r w:rsidR="00BC126B" w:rsidRPr="002A479B">
        <w:rPr>
          <w:rFonts w:ascii="Times New Roman" w:hAnsi="Times New Roman"/>
          <w:sz w:val="24"/>
          <w:szCs w:val="24"/>
        </w:rPr>
        <w:t xml:space="preserve">tawiennictwo jednej z tych osób byłoby wystarczające dla uznania, że oskarżyciel jest dalej zainteresowany prowadzeniem postępowania. </w:t>
      </w:r>
    </w:p>
    <w:p w14:paraId="2B5D73A3" w14:textId="46F9DE7E" w:rsidR="001309F3" w:rsidRPr="002A479B" w:rsidRDefault="002B45F9" w:rsidP="002A479B">
      <w:pPr>
        <w:spacing w:line="240" w:lineRule="auto"/>
        <w:jc w:val="both"/>
        <w:rPr>
          <w:rFonts w:ascii="Times New Roman" w:hAnsi="Times New Roman"/>
          <w:sz w:val="24"/>
          <w:szCs w:val="24"/>
        </w:rPr>
      </w:pPr>
      <w:r w:rsidRPr="002A479B">
        <w:rPr>
          <w:rFonts w:ascii="Times New Roman" w:hAnsi="Times New Roman"/>
          <w:sz w:val="24"/>
          <w:szCs w:val="24"/>
        </w:rPr>
        <w:t>Kolejną kwestią wymagającą o</w:t>
      </w:r>
      <w:r w:rsidR="00AF1D26" w:rsidRPr="002A479B">
        <w:rPr>
          <w:rFonts w:ascii="Times New Roman" w:hAnsi="Times New Roman"/>
          <w:sz w:val="24"/>
          <w:szCs w:val="24"/>
        </w:rPr>
        <w:t>mówienia</w:t>
      </w:r>
      <w:r w:rsidRPr="002A479B">
        <w:rPr>
          <w:rFonts w:ascii="Times New Roman" w:hAnsi="Times New Roman"/>
          <w:sz w:val="24"/>
          <w:szCs w:val="24"/>
        </w:rPr>
        <w:t xml:space="preserve">, jest propozycja zmian dotycząca uzasadnień wyroków. Projektodawca proponuje sporządzanie uzasadnień na formularzach, co ma </w:t>
      </w:r>
      <w:r w:rsidR="001309F3" w:rsidRPr="002A479B">
        <w:rPr>
          <w:rFonts w:ascii="Times New Roman" w:hAnsi="Times New Roman"/>
          <w:sz w:val="24"/>
          <w:szCs w:val="24"/>
        </w:rPr>
        <w:t>ułatwić ich zrozumienie przez odbiorcę i odnalezienie niezbędnych informacji, a także wyeliminować wielostronicowe uzasadnienia, których sporządzenie zajmuje dużo czasu. Projektodawca nie wskazuje jak miałby wyglądać taki formularz, jednakże cele jego wprowadzenia związane z</w:t>
      </w:r>
      <w:r w:rsidR="002A479B">
        <w:rPr>
          <w:rFonts w:ascii="Times New Roman" w:hAnsi="Times New Roman"/>
          <w:sz w:val="24"/>
          <w:szCs w:val="24"/>
        </w:rPr>
        <w:t> </w:t>
      </w:r>
      <w:r w:rsidR="001309F3" w:rsidRPr="002A479B">
        <w:rPr>
          <w:rFonts w:ascii="Times New Roman" w:hAnsi="Times New Roman"/>
          <w:sz w:val="24"/>
          <w:szCs w:val="24"/>
        </w:rPr>
        <w:t xml:space="preserve">ograniczeniem obszerności uzasadnień zdają się sugerować, że formularze ograniczałyby obszerność uzasadnień. </w:t>
      </w:r>
    </w:p>
    <w:p w14:paraId="184C15A5" w14:textId="54B8FBAF" w:rsidR="001309F3" w:rsidRPr="002A479B" w:rsidRDefault="00F96C80" w:rsidP="002A479B">
      <w:pPr>
        <w:spacing w:line="240" w:lineRule="auto"/>
        <w:jc w:val="both"/>
        <w:rPr>
          <w:rFonts w:ascii="Times New Roman" w:hAnsi="Times New Roman"/>
          <w:sz w:val="24"/>
          <w:szCs w:val="24"/>
        </w:rPr>
      </w:pPr>
      <w:r w:rsidRPr="002A479B">
        <w:rPr>
          <w:rFonts w:ascii="Times New Roman" w:hAnsi="Times New Roman"/>
          <w:sz w:val="24"/>
          <w:szCs w:val="24"/>
        </w:rPr>
        <w:t>W</w:t>
      </w:r>
      <w:r w:rsidR="001309F3" w:rsidRPr="002A479B">
        <w:rPr>
          <w:rFonts w:ascii="Times New Roman" w:hAnsi="Times New Roman"/>
          <w:sz w:val="24"/>
          <w:szCs w:val="24"/>
        </w:rPr>
        <w:t xml:space="preserve"> chwili obecnej uzasadnienia wyroków są uschematyzowane i łatwo odnaleźć kolejne elementy rozważań. W pierwszej części </w:t>
      </w:r>
      <w:r w:rsidR="003444EE" w:rsidRPr="002A479B">
        <w:rPr>
          <w:rFonts w:ascii="Times New Roman" w:hAnsi="Times New Roman"/>
          <w:sz w:val="24"/>
          <w:szCs w:val="24"/>
        </w:rPr>
        <w:t>uzasadnienia s</w:t>
      </w:r>
      <w:r w:rsidR="001309F3" w:rsidRPr="002A479B">
        <w:rPr>
          <w:rFonts w:ascii="Times New Roman" w:hAnsi="Times New Roman"/>
          <w:sz w:val="24"/>
          <w:szCs w:val="24"/>
        </w:rPr>
        <w:t>ądy przedstawiają ustalony stan faktyczny, dowody, na podstawie których dokonały</w:t>
      </w:r>
      <w:r w:rsidR="003444EE" w:rsidRPr="002A479B">
        <w:rPr>
          <w:rFonts w:ascii="Times New Roman" w:hAnsi="Times New Roman"/>
          <w:sz w:val="24"/>
          <w:szCs w:val="24"/>
        </w:rPr>
        <w:t xml:space="preserve"> tych</w:t>
      </w:r>
      <w:r w:rsidR="001309F3" w:rsidRPr="002A479B">
        <w:rPr>
          <w:rFonts w:ascii="Times New Roman" w:hAnsi="Times New Roman"/>
          <w:sz w:val="24"/>
          <w:szCs w:val="24"/>
        </w:rPr>
        <w:t xml:space="preserve"> ustaleń. Dalej następuje referat zgromadzonego materiału dowodowego i jego ocena, na końcu zaś </w:t>
      </w:r>
      <w:r w:rsidR="003444EE" w:rsidRPr="002A479B">
        <w:rPr>
          <w:rFonts w:ascii="Times New Roman" w:hAnsi="Times New Roman"/>
          <w:sz w:val="24"/>
          <w:szCs w:val="24"/>
        </w:rPr>
        <w:t>s</w:t>
      </w:r>
      <w:r w:rsidR="001309F3" w:rsidRPr="002A479B">
        <w:rPr>
          <w:rFonts w:ascii="Times New Roman" w:hAnsi="Times New Roman"/>
          <w:sz w:val="24"/>
          <w:szCs w:val="24"/>
        </w:rPr>
        <w:t xml:space="preserve">ąd dokonuje subsumpcji prawnej i omawia wymiar kary. Trudność w zrozumieniu i odnalezieniu informacji może zatem wypływać ze stosowanego języka, jednakże tego problemu nie rozwiąże wprowadzenie formularza. Ponadto, jakiekolwiek wpływanie na obszerność uzasadnień ograniczałoby wywód </w:t>
      </w:r>
      <w:r w:rsidR="006F3702" w:rsidRPr="002A479B">
        <w:rPr>
          <w:rFonts w:ascii="Times New Roman" w:hAnsi="Times New Roman"/>
          <w:sz w:val="24"/>
          <w:szCs w:val="24"/>
        </w:rPr>
        <w:t>s</w:t>
      </w:r>
      <w:r w:rsidR="001309F3" w:rsidRPr="002A479B">
        <w:rPr>
          <w:rFonts w:ascii="Times New Roman" w:hAnsi="Times New Roman"/>
          <w:sz w:val="24"/>
          <w:szCs w:val="24"/>
        </w:rPr>
        <w:t xml:space="preserve">ądu, co w sytuacjach spraw obszernych doprowadziłoby do skutku przeciwnego do zamierzonego, tj. większej kondensacji myśli, a tym samym mniejszego zrozumienia treści argumentacji dla odbiorcy. </w:t>
      </w:r>
    </w:p>
    <w:p w14:paraId="7E6D876B" w14:textId="579C4CDD" w:rsidR="00150A3A" w:rsidRPr="002A479B" w:rsidRDefault="001309F3" w:rsidP="002A479B">
      <w:pPr>
        <w:spacing w:line="240" w:lineRule="auto"/>
        <w:jc w:val="both"/>
        <w:rPr>
          <w:rFonts w:ascii="Times New Roman" w:hAnsi="Times New Roman"/>
          <w:sz w:val="24"/>
          <w:szCs w:val="24"/>
        </w:rPr>
      </w:pPr>
      <w:r w:rsidRPr="002A479B">
        <w:rPr>
          <w:rFonts w:ascii="Times New Roman" w:hAnsi="Times New Roman"/>
          <w:sz w:val="24"/>
          <w:szCs w:val="24"/>
        </w:rPr>
        <w:t>N</w:t>
      </w:r>
      <w:r w:rsidR="00150A3A" w:rsidRPr="002A479B">
        <w:rPr>
          <w:rFonts w:ascii="Times New Roman" w:hAnsi="Times New Roman"/>
          <w:sz w:val="24"/>
          <w:szCs w:val="24"/>
        </w:rPr>
        <w:t>a marginesie wspomnieć</w:t>
      </w:r>
      <w:r w:rsidR="006F3702" w:rsidRPr="002A479B">
        <w:rPr>
          <w:rFonts w:ascii="Times New Roman" w:hAnsi="Times New Roman"/>
          <w:sz w:val="24"/>
          <w:szCs w:val="24"/>
        </w:rPr>
        <w:t xml:space="preserve"> należy</w:t>
      </w:r>
      <w:r w:rsidR="00150A3A" w:rsidRPr="002A479B">
        <w:rPr>
          <w:rFonts w:ascii="Times New Roman" w:hAnsi="Times New Roman"/>
          <w:sz w:val="24"/>
          <w:szCs w:val="24"/>
        </w:rPr>
        <w:t>, że zmiany dotyczące ogłaszania</w:t>
      </w:r>
      <w:r w:rsidRPr="002A479B">
        <w:rPr>
          <w:rFonts w:ascii="Times New Roman" w:hAnsi="Times New Roman"/>
          <w:sz w:val="24"/>
          <w:szCs w:val="24"/>
        </w:rPr>
        <w:t xml:space="preserve"> orzeczeń</w:t>
      </w:r>
      <w:r w:rsidR="00150A3A" w:rsidRPr="002A479B">
        <w:rPr>
          <w:rFonts w:ascii="Times New Roman" w:hAnsi="Times New Roman"/>
          <w:sz w:val="24"/>
          <w:szCs w:val="24"/>
        </w:rPr>
        <w:t xml:space="preserve">, </w:t>
      </w:r>
      <w:r w:rsidRPr="002A479B">
        <w:rPr>
          <w:rFonts w:ascii="Times New Roman" w:hAnsi="Times New Roman"/>
          <w:sz w:val="24"/>
          <w:szCs w:val="24"/>
        </w:rPr>
        <w:t xml:space="preserve">prezentowania </w:t>
      </w:r>
      <w:r w:rsidR="00150A3A" w:rsidRPr="002A479B">
        <w:rPr>
          <w:rFonts w:ascii="Times New Roman" w:hAnsi="Times New Roman"/>
          <w:sz w:val="24"/>
          <w:szCs w:val="24"/>
        </w:rPr>
        <w:t>ustnych motywów tylko na wniosek</w:t>
      </w:r>
      <w:r w:rsidRPr="002A479B">
        <w:rPr>
          <w:rFonts w:ascii="Times New Roman" w:hAnsi="Times New Roman"/>
          <w:sz w:val="24"/>
          <w:szCs w:val="24"/>
        </w:rPr>
        <w:t xml:space="preserve"> strony</w:t>
      </w:r>
      <w:r w:rsidR="00150A3A" w:rsidRPr="002A479B">
        <w:rPr>
          <w:rFonts w:ascii="Times New Roman" w:hAnsi="Times New Roman"/>
          <w:sz w:val="24"/>
          <w:szCs w:val="24"/>
        </w:rPr>
        <w:t xml:space="preserve">, </w:t>
      </w:r>
      <w:r w:rsidRPr="002A479B">
        <w:rPr>
          <w:rFonts w:ascii="Times New Roman" w:hAnsi="Times New Roman"/>
          <w:sz w:val="24"/>
          <w:szCs w:val="24"/>
        </w:rPr>
        <w:t xml:space="preserve">możliwość wprowadzenia </w:t>
      </w:r>
      <w:r w:rsidR="00150A3A" w:rsidRPr="002A479B">
        <w:rPr>
          <w:rFonts w:ascii="Times New Roman" w:hAnsi="Times New Roman"/>
          <w:sz w:val="24"/>
          <w:szCs w:val="24"/>
        </w:rPr>
        <w:t>odroczenia ogłoszenia</w:t>
      </w:r>
      <w:r w:rsidR="004E2A01" w:rsidRPr="002A479B">
        <w:rPr>
          <w:rFonts w:ascii="Times New Roman" w:hAnsi="Times New Roman"/>
          <w:sz w:val="24"/>
          <w:szCs w:val="24"/>
        </w:rPr>
        <w:t xml:space="preserve"> </w:t>
      </w:r>
      <w:r w:rsidR="00150A3A" w:rsidRPr="002A479B">
        <w:rPr>
          <w:rFonts w:ascii="Times New Roman" w:hAnsi="Times New Roman"/>
          <w:sz w:val="24"/>
          <w:szCs w:val="24"/>
        </w:rPr>
        <w:t>postanowienia nie budzą wątpliwości, ale też nie wpły</w:t>
      </w:r>
      <w:r w:rsidR="00A61F51" w:rsidRPr="002A479B">
        <w:rPr>
          <w:rFonts w:ascii="Times New Roman" w:hAnsi="Times New Roman"/>
          <w:sz w:val="24"/>
          <w:szCs w:val="24"/>
        </w:rPr>
        <w:t>n</w:t>
      </w:r>
      <w:r w:rsidR="00150A3A" w:rsidRPr="002A479B">
        <w:rPr>
          <w:rFonts w:ascii="Times New Roman" w:hAnsi="Times New Roman"/>
          <w:sz w:val="24"/>
          <w:szCs w:val="24"/>
        </w:rPr>
        <w:t>ą realnie na tok postępowania</w:t>
      </w:r>
      <w:r w:rsidRPr="002A479B">
        <w:rPr>
          <w:rFonts w:ascii="Times New Roman" w:hAnsi="Times New Roman"/>
          <w:sz w:val="24"/>
          <w:szCs w:val="24"/>
        </w:rPr>
        <w:t xml:space="preserve">. </w:t>
      </w:r>
    </w:p>
    <w:p w14:paraId="41C8EEB1" w14:textId="434DDCE0" w:rsidR="001309F3" w:rsidRPr="002A479B" w:rsidRDefault="001309F3" w:rsidP="002A479B">
      <w:pPr>
        <w:spacing w:line="240" w:lineRule="auto"/>
        <w:jc w:val="both"/>
        <w:rPr>
          <w:rFonts w:ascii="Times New Roman" w:hAnsi="Times New Roman"/>
          <w:sz w:val="24"/>
          <w:szCs w:val="24"/>
        </w:rPr>
      </w:pPr>
      <w:r w:rsidRPr="002A479B">
        <w:rPr>
          <w:rFonts w:ascii="Times New Roman" w:hAnsi="Times New Roman"/>
          <w:sz w:val="24"/>
          <w:szCs w:val="24"/>
        </w:rPr>
        <w:t>Projektowa</w:t>
      </w:r>
      <w:r w:rsidR="00AF2BA7" w:rsidRPr="002A479B">
        <w:rPr>
          <w:rFonts w:ascii="Times New Roman" w:hAnsi="Times New Roman"/>
          <w:sz w:val="24"/>
          <w:szCs w:val="24"/>
        </w:rPr>
        <w:t>ne zmiany przewidują również modyfikacje w zakresie względnych podstaw odwoławczych</w:t>
      </w:r>
      <w:r w:rsidR="00760EF0" w:rsidRPr="002A479B">
        <w:rPr>
          <w:rFonts w:ascii="Times New Roman" w:hAnsi="Times New Roman"/>
          <w:sz w:val="24"/>
          <w:szCs w:val="24"/>
        </w:rPr>
        <w:t>,</w:t>
      </w:r>
      <w:r w:rsidR="00AF2BA7" w:rsidRPr="002A479B">
        <w:rPr>
          <w:rFonts w:ascii="Times New Roman" w:hAnsi="Times New Roman"/>
          <w:sz w:val="24"/>
          <w:szCs w:val="24"/>
        </w:rPr>
        <w:t xml:space="preserve"> wprowadzając rozróżnienie zarzutu naruszenia prawa materialnego na obrazę przepisów prawa materialnego w zakresie kwalifikacji prawnej czynu przypisanego sprawcy </w:t>
      </w:r>
      <w:r w:rsidR="00AF2BA7" w:rsidRPr="002A479B">
        <w:rPr>
          <w:rFonts w:ascii="Times New Roman" w:hAnsi="Times New Roman"/>
          <w:sz w:val="24"/>
          <w:szCs w:val="24"/>
        </w:rPr>
        <w:lastRenderedPageBreak/>
        <w:t xml:space="preserve">(art. 438 pkt. 1 §1 k.p.k.) i obrazę przepisów prawa materialnego w innym wypadku niż wskazany w §1, jeżeli mogła ona mieć wpływ na treść orzeczenia. Rozróżnienie to ma wynikać z </w:t>
      </w:r>
      <w:r w:rsidR="008E4D05" w:rsidRPr="002A479B">
        <w:rPr>
          <w:rFonts w:ascii="Times New Roman" w:hAnsi="Times New Roman"/>
          <w:sz w:val="24"/>
          <w:szCs w:val="24"/>
        </w:rPr>
        <w:t xml:space="preserve">tego, iż </w:t>
      </w:r>
      <w:r w:rsidR="00067B45" w:rsidRPr="002A479B">
        <w:rPr>
          <w:rFonts w:ascii="Times New Roman" w:hAnsi="Times New Roman"/>
          <w:sz w:val="24"/>
          <w:szCs w:val="24"/>
        </w:rPr>
        <w:t xml:space="preserve">w ocenie projektodawcy </w:t>
      </w:r>
      <w:r w:rsidR="008E4D05" w:rsidRPr="002A479B">
        <w:rPr>
          <w:rFonts w:ascii="Times New Roman" w:hAnsi="Times New Roman"/>
          <w:sz w:val="24"/>
          <w:szCs w:val="24"/>
        </w:rPr>
        <w:t>obecn</w:t>
      </w:r>
      <w:r w:rsidR="00A52BFD" w:rsidRPr="002A479B">
        <w:rPr>
          <w:rFonts w:ascii="Times New Roman" w:hAnsi="Times New Roman"/>
          <w:sz w:val="24"/>
          <w:szCs w:val="24"/>
        </w:rPr>
        <w:t>i</w:t>
      </w:r>
      <w:r w:rsidR="008E4D05" w:rsidRPr="002A479B">
        <w:rPr>
          <w:rFonts w:ascii="Times New Roman" w:hAnsi="Times New Roman"/>
          <w:sz w:val="24"/>
          <w:szCs w:val="24"/>
        </w:rPr>
        <w:t xml:space="preserve">e </w:t>
      </w:r>
      <w:r w:rsidR="00AF2BA7" w:rsidRPr="002A479B">
        <w:rPr>
          <w:rFonts w:ascii="Times New Roman" w:hAnsi="Times New Roman"/>
          <w:sz w:val="24"/>
          <w:szCs w:val="24"/>
        </w:rPr>
        <w:t>podnosz</w:t>
      </w:r>
      <w:r w:rsidR="008E4D05" w:rsidRPr="002A479B">
        <w:rPr>
          <w:rFonts w:ascii="Times New Roman" w:hAnsi="Times New Roman"/>
          <w:sz w:val="24"/>
          <w:szCs w:val="24"/>
        </w:rPr>
        <w:t>one są</w:t>
      </w:r>
      <w:r w:rsidR="00AF2BA7" w:rsidRPr="002A479B">
        <w:rPr>
          <w:rFonts w:ascii="Times New Roman" w:hAnsi="Times New Roman"/>
          <w:sz w:val="24"/>
          <w:szCs w:val="24"/>
        </w:rPr>
        <w:t xml:space="preserve"> </w:t>
      </w:r>
      <w:r w:rsidR="008E4D05" w:rsidRPr="002A479B">
        <w:rPr>
          <w:rFonts w:ascii="Times New Roman" w:hAnsi="Times New Roman"/>
          <w:sz w:val="24"/>
          <w:szCs w:val="24"/>
        </w:rPr>
        <w:t xml:space="preserve">skutecznie </w:t>
      </w:r>
      <w:r w:rsidR="00067B45" w:rsidRPr="002A479B">
        <w:rPr>
          <w:rFonts w:ascii="Times New Roman" w:hAnsi="Times New Roman"/>
          <w:sz w:val="24"/>
          <w:szCs w:val="24"/>
        </w:rPr>
        <w:t xml:space="preserve">przez skarżących </w:t>
      </w:r>
      <w:r w:rsidR="00AF2BA7" w:rsidRPr="002A479B">
        <w:rPr>
          <w:rFonts w:ascii="Times New Roman" w:hAnsi="Times New Roman"/>
          <w:sz w:val="24"/>
          <w:szCs w:val="24"/>
        </w:rPr>
        <w:t>zarzut</w:t>
      </w:r>
      <w:r w:rsidR="008E4D05" w:rsidRPr="002A479B">
        <w:rPr>
          <w:rFonts w:ascii="Times New Roman" w:hAnsi="Times New Roman"/>
          <w:sz w:val="24"/>
          <w:szCs w:val="24"/>
        </w:rPr>
        <w:t>y</w:t>
      </w:r>
      <w:r w:rsidR="00AF2BA7" w:rsidRPr="002A479B">
        <w:rPr>
          <w:rFonts w:ascii="Times New Roman" w:hAnsi="Times New Roman"/>
          <w:sz w:val="24"/>
          <w:szCs w:val="24"/>
        </w:rPr>
        <w:t xml:space="preserve"> naruszenia prawa materialnego </w:t>
      </w:r>
      <w:r w:rsidR="00067B45" w:rsidRPr="002A479B">
        <w:rPr>
          <w:rFonts w:ascii="Times New Roman" w:hAnsi="Times New Roman"/>
          <w:sz w:val="24"/>
          <w:szCs w:val="24"/>
        </w:rPr>
        <w:t>bez względu na to, jakie efekty uwzględnienie zarzutu może przynieść</w:t>
      </w:r>
      <w:r w:rsidR="00C50777" w:rsidRPr="002A479B">
        <w:rPr>
          <w:rFonts w:ascii="Times New Roman" w:hAnsi="Times New Roman"/>
          <w:sz w:val="24"/>
          <w:szCs w:val="24"/>
        </w:rPr>
        <w:t xml:space="preserve">, w jaki sposób wpłynąć </w:t>
      </w:r>
      <w:r w:rsidR="00AF2BA7" w:rsidRPr="002A479B">
        <w:rPr>
          <w:rFonts w:ascii="Times New Roman" w:hAnsi="Times New Roman"/>
          <w:sz w:val="24"/>
          <w:szCs w:val="24"/>
        </w:rPr>
        <w:t xml:space="preserve">na sytuację prawną osoby skarżącej. </w:t>
      </w:r>
      <w:r w:rsidR="00C50777" w:rsidRPr="002A479B">
        <w:rPr>
          <w:rFonts w:ascii="Times New Roman" w:hAnsi="Times New Roman"/>
          <w:sz w:val="24"/>
          <w:szCs w:val="24"/>
        </w:rPr>
        <w:t xml:space="preserve">W konsekwencji, dochodzi do uchylenia wielu orzeczeń, mimo iż naruszenia prawa materialnego, objęte zarzutami odwoławczymi, nie miały wpływu na treść orzeczenia. </w:t>
      </w:r>
      <w:r w:rsidR="00AF2BA7" w:rsidRPr="002A479B">
        <w:rPr>
          <w:rFonts w:ascii="Times New Roman" w:hAnsi="Times New Roman"/>
          <w:sz w:val="24"/>
          <w:szCs w:val="24"/>
        </w:rPr>
        <w:t xml:space="preserve">. </w:t>
      </w:r>
    </w:p>
    <w:p w14:paraId="4EE08C99" w14:textId="0342ED07" w:rsidR="00AF2BA7" w:rsidRPr="002A479B" w:rsidRDefault="00305129" w:rsidP="002A479B">
      <w:pPr>
        <w:spacing w:line="240" w:lineRule="auto"/>
        <w:jc w:val="both"/>
        <w:rPr>
          <w:rFonts w:ascii="Times New Roman" w:hAnsi="Times New Roman"/>
          <w:sz w:val="24"/>
          <w:szCs w:val="24"/>
        </w:rPr>
      </w:pPr>
      <w:r w:rsidRPr="002A479B">
        <w:rPr>
          <w:rFonts w:ascii="Times New Roman" w:hAnsi="Times New Roman"/>
          <w:sz w:val="24"/>
          <w:szCs w:val="24"/>
        </w:rPr>
        <w:t>P</w:t>
      </w:r>
      <w:r w:rsidR="00AF2BA7" w:rsidRPr="002A479B">
        <w:rPr>
          <w:rFonts w:ascii="Times New Roman" w:hAnsi="Times New Roman"/>
          <w:sz w:val="24"/>
          <w:szCs w:val="24"/>
        </w:rPr>
        <w:t>rzyjmując – tak jak to słusznie czyni Projektodawca – iż obraza prawa materialnego dotyczy wyłącznie przepisów o charakterze stanowczym, tzn. nakazującym stosowanie prawa materialnego lub zakazujące jego stosowania</w:t>
      </w:r>
      <w:r w:rsidR="00D4411D" w:rsidRPr="002A479B">
        <w:rPr>
          <w:rFonts w:ascii="Times New Roman" w:hAnsi="Times New Roman"/>
          <w:sz w:val="24"/>
          <w:szCs w:val="24"/>
        </w:rPr>
        <w:t>,</w:t>
      </w:r>
      <w:r w:rsidR="00AF2BA7" w:rsidRPr="002A479B">
        <w:rPr>
          <w:rFonts w:ascii="Times New Roman" w:hAnsi="Times New Roman"/>
          <w:sz w:val="24"/>
          <w:szCs w:val="24"/>
        </w:rPr>
        <w:t xml:space="preserve"> nie do przyjęcia jest podejście</w:t>
      </w:r>
      <w:r w:rsidR="00D4411D" w:rsidRPr="002A479B">
        <w:rPr>
          <w:rFonts w:ascii="Times New Roman" w:hAnsi="Times New Roman"/>
          <w:sz w:val="24"/>
          <w:szCs w:val="24"/>
        </w:rPr>
        <w:t>,</w:t>
      </w:r>
      <w:r w:rsidR="00AF2BA7" w:rsidRPr="002A479B">
        <w:rPr>
          <w:rFonts w:ascii="Times New Roman" w:hAnsi="Times New Roman"/>
          <w:sz w:val="24"/>
          <w:szCs w:val="24"/>
        </w:rPr>
        <w:t xml:space="preserve"> zgodnie z którym zmiany wyroków wynikające z uznania zaistnienia takich błędów </w:t>
      </w:r>
      <w:r w:rsidRPr="002A479B">
        <w:rPr>
          <w:rFonts w:ascii="Times New Roman" w:hAnsi="Times New Roman"/>
          <w:sz w:val="24"/>
          <w:szCs w:val="24"/>
        </w:rPr>
        <w:t>uważa się za zbędne. Takie podejście zakłada bowiem, że prawo – nawet to wprost</w:t>
      </w:r>
      <w:r w:rsidR="00611D65" w:rsidRPr="002A479B">
        <w:rPr>
          <w:rFonts w:ascii="Times New Roman" w:hAnsi="Times New Roman"/>
          <w:sz w:val="24"/>
          <w:szCs w:val="24"/>
        </w:rPr>
        <w:t xml:space="preserve"> ustalające zasady odpowiedzialności karnej obywatela </w:t>
      </w:r>
      <w:r w:rsidRPr="002A479B">
        <w:rPr>
          <w:rFonts w:ascii="Times New Roman" w:hAnsi="Times New Roman"/>
          <w:sz w:val="24"/>
          <w:szCs w:val="24"/>
        </w:rPr>
        <w:t>– może być lub nie być stosowane. Burzy to więc posłuch dla prawa i</w:t>
      </w:r>
      <w:r w:rsidR="002A479B">
        <w:rPr>
          <w:rFonts w:ascii="Times New Roman" w:hAnsi="Times New Roman"/>
          <w:sz w:val="24"/>
          <w:szCs w:val="24"/>
        </w:rPr>
        <w:t> </w:t>
      </w:r>
      <w:r w:rsidRPr="002A479B">
        <w:rPr>
          <w:rFonts w:ascii="Times New Roman" w:hAnsi="Times New Roman"/>
          <w:sz w:val="24"/>
          <w:szCs w:val="24"/>
        </w:rPr>
        <w:t xml:space="preserve">znaczenie prawa dla obywatela. Ponadto, </w:t>
      </w:r>
      <w:r w:rsidR="00611D65" w:rsidRPr="002A479B">
        <w:rPr>
          <w:rFonts w:ascii="Times New Roman" w:hAnsi="Times New Roman"/>
          <w:sz w:val="24"/>
          <w:szCs w:val="24"/>
        </w:rPr>
        <w:t xml:space="preserve">projektodawca przedstawiając przykłady przepisów prawa materialnego, które mogą być naruszone nie wskazał ani jednego przypadku, w którym </w:t>
      </w:r>
      <w:r w:rsidR="003363AD" w:rsidRPr="002A479B">
        <w:rPr>
          <w:rFonts w:ascii="Times New Roman" w:hAnsi="Times New Roman"/>
          <w:sz w:val="24"/>
          <w:szCs w:val="24"/>
        </w:rPr>
        <w:t xml:space="preserve">naruszenie nie miało wpływu na rozstrzygnięcie. Przykłady naruszeń prawa materialnego dotyczą w zasadzie wyłączenie kwalifikacji prawnej czynu oraz wymiaru kary, a więc kwestii, które mają pierwszorzędne znaczenie dla rozstrzygnięcia. Tym samym brak jest podstaw do wprowadzenia omawianego rozróżnienia. </w:t>
      </w:r>
    </w:p>
    <w:p w14:paraId="66328D7C" w14:textId="38CC066A" w:rsidR="00305129" w:rsidRPr="002A479B" w:rsidRDefault="00305129" w:rsidP="002A479B">
      <w:pPr>
        <w:spacing w:line="240" w:lineRule="auto"/>
        <w:jc w:val="both"/>
        <w:rPr>
          <w:rFonts w:ascii="Times New Roman" w:hAnsi="Times New Roman"/>
          <w:sz w:val="24"/>
          <w:szCs w:val="24"/>
        </w:rPr>
      </w:pPr>
      <w:r w:rsidRPr="002A479B">
        <w:rPr>
          <w:rFonts w:ascii="Times New Roman" w:hAnsi="Times New Roman"/>
          <w:sz w:val="24"/>
          <w:szCs w:val="24"/>
        </w:rPr>
        <w:t>Zwrócić również należy uwagę na propozycję zmian</w:t>
      </w:r>
      <w:r w:rsidR="00D60766" w:rsidRPr="002A479B">
        <w:rPr>
          <w:rFonts w:ascii="Times New Roman" w:hAnsi="Times New Roman"/>
          <w:sz w:val="24"/>
          <w:szCs w:val="24"/>
        </w:rPr>
        <w:t>,</w:t>
      </w:r>
      <w:r w:rsidRPr="002A479B">
        <w:rPr>
          <w:rFonts w:ascii="Times New Roman" w:hAnsi="Times New Roman"/>
          <w:sz w:val="24"/>
          <w:szCs w:val="24"/>
        </w:rPr>
        <w:t xml:space="preserve"> dotyczących wytycznych przy uchyleniu orzeczenia. Proponuje się wprowadzenie zakazu udzielania wytycznych co do sposobu oceny poszczególnych dowodów, powołując </w:t>
      </w:r>
      <w:r w:rsidR="00A02A66" w:rsidRPr="002A479B">
        <w:rPr>
          <w:rFonts w:ascii="Times New Roman" w:hAnsi="Times New Roman"/>
          <w:i/>
          <w:sz w:val="24"/>
          <w:szCs w:val="24"/>
        </w:rPr>
        <w:t xml:space="preserve">de facto </w:t>
      </w:r>
      <w:r w:rsidR="00A02A66" w:rsidRPr="002A479B">
        <w:rPr>
          <w:rFonts w:ascii="Times New Roman" w:hAnsi="Times New Roman"/>
          <w:sz w:val="24"/>
          <w:szCs w:val="24"/>
        </w:rPr>
        <w:t xml:space="preserve">na niezależność orzeczniczą </w:t>
      </w:r>
      <w:r w:rsidR="006F3702" w:rsidRPr="002A479B">
        <w:rPr>
          <w:rFonts w:ascii="Times New Roman" w:hAnsi="Times New Roman"/>
          <w:sz w:val="24"/>
          <w:szCs w:val="24"/>
        </w:rPr>
        <w:t>s</w:t>
      </w:r>
      <w:r w:rsidR="00A02A66" w:rsidRPr="002A479B">
        <w:rPr>
          <w:rFonts w:ascii="Times New Roman" w:hAnsi="Times New Roman"/>
          <w:sz w:val="24"/>
          <w:szCs w:val="24"/>
        </w:rPr>
        <w:t>ądów.</w:t>
      </w:r>
      <w:r w:rsidR="00BC4327" w:rsidRPr="002A479B">
        <w:rPr>
          <w:rFonts w:ascii="Times New Roman" w:hAnsi="Times New Roman"/>
          <w:sz w:val="24"/>
          <w:szCs w:val="24"/>
        </w:rPr>
        <w:t xml:space="preserve"> </w:t>
      </w:r>
      <w:r w:rsidR="000E7923" w:rsidRPr="002A479B">
        <w:rPr>
          <w:rFonts w:ascii="Times New Roman" w:hAnsi="Times New Roman"/>
          <w:sz w:val="24"/>
          <w:szCs w:val="24"/>
        </w:rPr>
        <w:t xml:space="preserve">Biorąc pod uwagę istotę wytycznych oraz </w:t>
      </w:r>
      <w:r w:rsidR="003A33EC" w:rsidRPr="002A479B">
        <w:rPr>
          <w:rFonts w:ascii="Times New Roman" w:hAnsi="Times New Roman"/>
          <w:sz w:val="24"/>
          <w:szCs w:val="24"/>
        </w:rPr>
        <w:t xml:space="preserve">samego </w:t>
      </w:r>
      <w:r w:rsidR="000E7923" w:rsidRPr="002A479B">
        <w:rPr>
          <w:rFonts w:ascii="Times New Roman" w:hAnsi="Times New Roman"/>
          <w:sz w:val="24"/>
          <w:szCs w:val="24"/>
        </w:rPr>
        <w:t>postępowania odwoławczego</w:t>
      </w:r>
      <w:r w:rsidR="003A33EC" w:rsidRPr="002A479B">
        <w:rPr>
          <w:rFonts w:ascii="Times New Roman" w:hAnsi="Times New Roman"/>
          <w:sz w:val="24"/>
          <w:szCs w:val="24"/>
        </w:rPr>
        <w:t xml:space="preserve"> wskazać należy, że przyjęte założenie jest błędne. Wytyczne sądu odwoławczego dla sądu I instancji wynikają z</w:t>
      </w:r>
      <w:r w:rsidR="002A479B">
        <w:rPr>
          <w:rFonts w:ascii="Times New Roman" w:hAnsi="Times New Roman"/>
          <w:sz w:val="24"/>
          <w:szCs w:val="24"/>
        </w:rPr>
        <w:t> </w:t>
      </w:r>
      <w:r w:rsidR="003A33EC" w:rsidRPr="002A479B">
        <w:rPr>
          <w:rFonts w:ascii="Times New Roman" w:hAnsi="Times New Roman"/>
          <w:sz w:val="24"/>
          <w:szCs w:val="24"/>
        </w:rPr>
        <w:t xml:space="preserve">dostrzeżonych </w:t>
      </w:r>
      <w:r w:rsidR="008F3317" w:rsidRPr="002A479B">
        <w:rPr>
          <w:rFonts w:ascii="Times New Roman" w:hAnsi="Times New Roman"/>
          <w:sz w:val="24"/>
          <w:szCs w:val="24"/>
        </w:rPr>
        <w:t>przez sąd braków lub błędów</w:t>
      </w:r>
      <w:r w:rsidR="00756283" w:rsidRPr="002A479B">
        <w:rPr>
          <w:rFonts w:ascii="Times New Roman" w:hAnsi="Times New Roman"/>
          <w:sz w:val="24"/>
          <w:szCs w:val="24"/>
        </w:rPr>
        <w:t xml:space="preserve"> i mają na celu pokierowanie sądu I instancji co do sposobu przeprowadzenia postępowania i dokonania subsumpcji prawnej tak aby była ona prawidłowa, zgodna z przepisami</w:t>
      </w:r>
      <w:r w:rsidR="008F3317" w:rsidRPr="002A479B">
        <w:rPr>
          <w:rFonts w:ascii="Times New Roman" w:hAnsi="Times New Roman"/>
          <w:sz w:val="24"/>
          <w:szCs w:val="24"/>
        </w:rPr>
        <w:t>. Skoro zarzuty mogą dotyczyć błędnej – czyli w praktyce często dowolnej – oceny dowodów</w:t>
      </w:r>
      <w:r w:rsidR="00110145" w:rsidRPr="002A479B">
        <w:rPr>
          <w:rFonts w:ascii="Times New Roman" w:hAnsi="Times New Roman"/>
          <w:sz w:val="24"/>
          <w:szCs w:val="24"/>
        </w:rPr>
        <w:t>,</w:t>
      </w:r>
      <w:r w:rsidR="008F3317" w:rsidRPr="002A479B">
        <w:rPr>
          <w:rFonts w:ascii="Times New Roman" w:hAnsi="Times New Roman"/>
          <w:sz w:val="24"/>
          <w:szCs w:val="24"/>
        </w:rPr>
        <w:t xml:space="preserve"> </w:t>
      </w:r>
      <w:r w:rsidR="00726060" w:rsidRPr="002A479B">
        <w:rPr>
          <w:rFonts w:ascii="Times New Roman" w:hAnsi="Times New Roman"/>
          <w:sz w:val="24"/>
          <w:szCs w:val="24"/>
        </w:rPr>
        <w:t>to oczywistym jest, że</w:t>
      </w:r>
      <w:r w:rsidR="00160A99" w:rsidRPr="002A479B">
        <w:rPr>
          <w:rFonts w:ascii="Times New Roman" w:hAnsi="Times New Roman"/>
          <w:sz w:val="24"/>
          <w:szCs w:val="24"/>
        </w:rPr>
        <w:t xml:space="preserve"> s</w:t>
      </w:r>
      <w:r w:rsidR="00726060" w:rsidRPr="002A479B">
        <w:rPr>
          <w:rFonts w:ascii="Times New Roman" w:hAnsi="Times New Roman"/>
          <w:sz w:val="24"/>
          <w:szCs w:val="24"/>
        </w:rPr>
        <w:t xml:space="preserve">ąd odwoławczy będzie w ramach wytycznych wskazywał w jaki sposób </w:t>
      </w:r>
      <w:r w:rsidR="00362360" w:rsidRPr="002A479B">
        <w:rPr>
          <w:rFonts w:ascii="Times New Roman" w:hAnsi="Times New Roman"/>
          <w:sz w:val="24"/>
          <w:szCs w:val="24"/>
        </w:rPr>
        <w:t xml:space="preserve">prawidłowo ta ocena dowodów powinna być przeprowadzona. </w:t>
      </w:r>
      <w:r w:rsidR="00160A99" w:rsidRPr="002A479B">
        <w:rPr>
          <w:rFonts w:ascii="Times New Roman" w:hAnsi="Times New Roman"/>
          <w:sz w:val="24"/>
          <w:szCs w:val="24"/>
        </w:rPr>
        <w:t xml:space="preserve">Tym samym zakazanie sądowi odwoławczemu wskazywania sposobu oceny poszczególnych dowodów musiałoby być połączone z </w:t>
      </w:r>
      <w:r w:rsidR="00756283" w:rsidRPr="002A479B">
        <w:rPr>
          <w:rFonts w:ascii="Times New Roman" w:hAnsi="Times New Roman"/>
          <w:sz w:val="24"/>
          <w:szCs w:val="24"/>
        </w:rPr>
        <w:t>wykluczeniem zarzutów związanych z</w:t>
      </w:r>
      <w:r w:rsidR="002A479B">
        <w:rPr>
          <w:rFonts w:ascii="Times New Roman" w:hAnsi="Times New Roman"/>
          <w:sz w:val="24"/>
          <w:szCs w:val="24"/>
        </w:rPr>
        <w:t> </w:t>
      </w:r>
      <w:r w:rsidR="00756283" w:rsidRPr="002A479B">
        <w:rPr>
          <w:rFonts w:ascii="Times New Roman" w:hAnsi="Times New Roman"/>
          <w:sz w:val="24"/>
          <w:szCs w:val="24"/>
        </w:rPr>
        <w:t xml:space="preserve">oceną dowodów. </w:t>
      </w:r>
      <w:r w:rsidR="008B794A" w:rsidRPr="002A479B">
        <w:rPr>
          <w:rFonts w:ascii="Times New Roman" w:hAnsi="Times New Roman"/>
          <w:sz w:val="24"/>
          <w:szCs w:val="24"/>
        </w:rPr>
        <w:t xml:space="preserve">Zaznaczyć przy tym należy, że Sąd odwoławczy nie wskazuje wprost czy dany dowód jest wiarygodny czy nie, lecz </w:t>
      </w:r>
      <w:r w:rsidR="00EE7780" w:rsidRPr="002A479B">
        <w:rPr>
          <w:rFonts w:ascii="Times New Roman" w:hAnsi="Times New Roman"/>
          <w:sz w:val="24"/>
          <w:szCs w:val="24"/>
        </w:rPr>
        <w:t xml:space="preserve">tłumaczy w jaki sposób i przy uwzględnieniu jakich innych dowodów czy okoliczności powinien on zostać oceniony. </w:t>
      </w:r>
    </w:p>
    <w:p w14:paraId="620D49C1" w14:textId="4B72B29D" w:rsidR="001309F3" w:rsidRDefault="006A68D2"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Dyskusyjne mogą wydać się również zmiany treści przepisu art. 454 k.p.k. </w:t>
      </w:r>
      <w:r w:rsidR="00B26AC0" w:rsidRPr="002A479B">
        <w:rPr>
          <w:rFonts w:ascii="Times New Roman" w:hAnsi="Times New Roman"/>
          <w:sz w:val="24"/>
          <w:szCs w:val="24"/>
        </w:rPr>
        <w:t xml:space="preserve">(reguła </w:t>
      </w:r>
      <w:proofErr w:type="spellStart"/>
      <w:r w:rsidR="00B26AC0" w:rsidRPr="002A479B">
        <w:rPr>
          <w:rFonts w:ascii="Times New Roman" w:hAnsi="Times New Roman"/>
          <w:i/>
          <w:sz w:val="24"/>
          <w:szCs w:val="24"/>
        </w:rPr>
        <w:t>ne</w:t>
      </w:r>
      <w:proofErr w:type="spellEnd"/>
      <w:r w:rsidR="00B26AC0" w:rsidRPr="002A479B">
        <w:rPr>
          <w:rFonts w:ascii="Times New Roman" w:hAnsi="Times New Roman"/>
          <w:i/>
          <w:sz w:val="24"/>
          <w:szCs w:val="24"/>
        </w:rPr>
        <w:t xml:space="preserve"> </w:t>
      </w:r>
      <w:proofErr w:type="spellStart"/>
      <w:r w:rsidR="00B26AC0" w:rsidRPr="002A479B">
        <w:rPr>
          <w:rFonts w:ascii="Times New Roman" w:hAnsi="Times New Roman"/>
          <w:i/>
          <w:sz w:val="24"/>
          <w:szCs w:val="24"/>
        </w:rPr>
        <w:t>peius</w:t>
      </w:r>
      <w:proofErr w:type="spellEnd"/>
      <w:r w:rsidR="00B26AC0" w:rsidRPr="002A479B">
        <w:rPr>
          <w:rFonts w:ascii="Times New Roman" w:hAnsi="Times New Roman"/>
          <w:sz w:val="24"/>
          <w:szCs w:val="24"/>
        </w:rPr>
        <w:t>)</w:t>
      </w:r>
      <w:r w:rsidR="00C50777" w:rsidRPr="002A479B">
        <w:rPr>
          <w:rFonts w:ascii="Times New Roman" w:hAnsi="Times New Roman"/>
          <w:sz w:val="24"/>
          <w:szCs w:val="24"/>
        </w:rPr>
        <w:t xml:space="preserve">, które umożliwiają wydanie przez sąd odwoławczy wyroku skazującego </w:t>
      </w:r>
      <w:r w:rsidR="00B26AC0" w:rsidRPr="002A479B">
        <w:rPr>
          <w:rFonts w:ascii="Times New Roman" w:hAnsi="Times New Roman"/>
          <w:sz w:val="24"/>
          <w:szCs w:val="24"/>
        </w:rPr>
        <w:t xml:space="preserve"> w przypadku warunkowego umorzenia postępowania w pierwszej instancji, a także </w:t>
      </w:r>
      <w:r w:rsidR="00C50777" w:rsidRPr="002A479B">
        <w:rPr>
          <w:rFonts w:ascii="Times New Roman" w:hAnsi="Times New Roman"/>
          <w:sz w:val="24"/>
          <w:szCs w:val="24"/>
        </w:rPr>
        <w:t xml:space="preserve">usuwają zakaz zaostrzenia przez sąd odwoławczy kary poprzez orzeczenie </w:t>
      </w:r>
      <w:r w:rsidR="00B26AC0" w:rsidRPr="002A479B">
        <w:rPr>
          <w:rFonts w:ascii="Times New Roman" w:hAnsi="Times New Roman"/>
          <w:sz w:val="24"/>
          <w:szCs w:val="24"/>
        </w:rPr>
        <w:t xml:space="preserve"> kary </w:t>
      </w:r>
      <w:r w:rsidR="00C50777" w:rsidRPr="002A479B">
        <w:rPr>
          <w:rFonts w:ascii="Times New Roman" w:hAnsi="Times New Roman"/>
          <w:sz w:val="24"/>
          <w:szCs w:val="24"/>
        </w:rPr>
        <w:t xml:space="preserve">dożywotniego </w:t>
      </w:r>
      <w:r w:rsidR="00B26AC0" w:rsidRPr="002A479B">
        <w:rPr>
          <w:rFonts w:ascii="Times New Roman" w:hAnsi="Times New Roman"/>
          <w:sz w:val="24"/>
          <w:szCs w:val="24"/>
        </w:rPr>
        <w:t xml:space="preserve">pozbawienia wolności. </w:t>
      </w:r>
      <w:r w:rsidR="004724E4" w:rsidRPr="002A479B">
        <w:rPr>
          <w:rFonts w:ascii="Times New Roman" w:hAnsi="Times New Roman"/>
          <w:sz w:val="24"/>
          <w:szCs w:val="24"/>
        </w:rPr>
        <w:t xml:space="preserve">Przyznać należy rację Projektodawcy, że przepisy międzynarodowe nie </w:t>
      </w:r>
      <w:r w:rsidR="007C5203" w:rsidRPr="002A479B">
        <w:rPr>
          <w:rFonts w:ascii="Times New Roman" w:hAnsi="Times New Roman"/>
          <w:sz w:val="24"/>
          <w:szCs w:val="24"/>
        </w:rPr>
        <w:t>uniemożliwiają wprowadzenia takich zmian. Co więcej wydaje się, że w przypadku warunkowego umorzenia postępowania</w:t>
      </w:r>
      <w:r w:rsidR="00C500F7" w:rsidRPr="002A479B">
        <w:rPr>
          <w:rFonts w:ascii="Times New Roman" w:hAnsi="Times New Roman"/>
          <w:sz w:val="24"/>
          <w:szCs w:val="24"/>
        </w:rPr>
        <w:t>,</w:t>
      </w:r>
      <w:r w:rsidR="007C5203" w:rsidRPr="002A479B">
        <w:rPr>
          <w:rFonts w:ascii="Times New Roman" w:hAnsi="Times New Roman"/>
          <w:sz w:val="24"/>
          <w:szCs w:val="24"/>
        </w:rPr>
        <w:t xml:space="preserve"> zmiana ta </w:t>
      </w:r>
      <w:r w:rsidR="00EB5BDC" w:rsidRPr="002A479B">
        <w:rPr>
          <w:rFonts w:ascii="Times New Roman" w:hAnsi="Times New Roman"/>
          <w:sz w:val="24"/>
          <w:szCs w:val="24"/>
        </w:rPr>
        <w:t xml:space="preserve">została połączona z nałożeniem na sąd obowiązku dokładnego opisu czynu </w:t>
      </w:r>
      <w:r w:rsidR="009B47D5" w:rsidRPr="002A479B">
        <w:rPr>
          <w:rFonts w:ascii="Times New Roman" w:hAnsi="Times New Roman"/>
          <w:sz w:val="24"/>
          <w:szCs w:val="24"/>
        </w:rPr>
        <w:t xml:space="preserve">w przypadku warunkowego umorzenia postępowania, co powinno przeciwdziałać jakimkolwiek wątpliwościom co do tego, za jaki czyn oskarżony może zostać skazany w drugiej instancji. </w:t>
      </w:r>
      <w:r w:rsidR="00802F88" w:rsidRPr="002A479B">
        <w:rPr>
          <w:rFonts w:ascii="Times New Roman" w:hAnsi="Times New Roman"/>
          <w:sz w:val="24"/>
          <w:szCs w:val="24"/>
        </w:rPr>
        <w:t>Wątpliwości budzi jednak możliwość orzeczenia dożywotniego pozbawienia wolności w wyniku apelacji. Kara ta, ze względu na swoją wagę i</w:t>
      </w:r>
      <w:r w:rsidR="002A479B">
        <w:rPr>
          <w:rFonts w:ascii="Times New Roman" w:hAnsi="Times New Roman"/>
          <w:sz w:val="24"/>
          <w:szCs w:val="24"/>
        </w:rPr>
        <w:t> </w:t>
      </w:r>
      <w:r w:rsidR="00802F88" w:rsidRPr="002A479B">
        <w:rPr>
          <w:rFonts w:ascii="Times New Roman" w:hAnsi="Times New Roman"/>
          <w:sz w:val="24"/>
          <w:szCs w:val="24"/>
        </w:rPr>
        <w:t xml:space="preserve">znaczenie dla życia oskarżonego powinna być stosowana wyłącznie po przeprowadzeniu </w:t>
      </w:r>
      <w:r w:rsidR="00536D92" w:rsidRPr="002A479B">
        <w:rPr>
          <w:rFonts w:ascii="Times New Roman" w:hAnsi="Times New Roman"/>
          <w:sz w:val="24"/>
          <w:szCs w:val="24"/>
        </w:rPr>
        <w:t xml:space="preserve">dokładnej i dogłębnej analizy. </w:t>
      </w:r>
      <w:r w:rsidR="00434066" w:rsidRPr="002A479B">
        <w:rPr>
          <w:rFonts w:ascii="Times New Roman" w:hAnsi="Times New Roman"/>
          <w:sz w:val="24"/>
          <w:szCs w:val="24"/>
        </w:rPr>
        <w:t>Jednocześnie</w:t>
      </w:r>
      <w:r w:rsidR="00536D92" w:rsidRPr="002A479B">
        <w:rPr>
          <w:rFonts w:ascii="Times New Roman" w:hAnsi="Times New Roman"/>
          <w:sz w:val="24"/>
          <w:szCs w:val="24"/>
        </w:rPr>
        <w:t xml:space="preserve"> należy mieć na względzie, że w przypadku uchylenia wyroku skazującego ze względu na potrzebę rozważanie orzeczenia dożywotniego </w:t>
      </w:r>
      <w:r w:rsidR="00536D92" w:rsidRPr="002A479B">
        <w:rPr>
          <w:rFonts w:ascii="Times New Roman" w:hAnsi="Times New Roman"/>
          <w:sz w:val="24"/>
          <w:szCs w:val="24"/>
        </w:rPr>
        <w:lastRenderedPageBreak/>
        <w:t xml:space="preserve">pozbawienia wolności nie jest niezbędne powtarzanie całego postępowania, a tym samym </w:t>
      </w:r>
      <w:r w:rsidR="00434066" w:rsidRPr="002A479B">
        <w:rPr>
          <w:rFonts w:ascii="Times New Roman" w:hAnsi="Times New Roman"/>
          <w:sz w:val="24"/>
          <w:szCs w:val="24"/>
        </w:rPr>
        <w:t xml:space="preserve">kolejny wieloletni proces. </w:t>
      </w:r>
    </w:p>
    <w:p w14:paraId="0A3B10DF" w14:textId="1702FAB4" w:rsidR="002A479B" w:rsidRDefault="002A479B" w:rsidP="002A479B">
      <w:pPr>
        <w:spacing w:line="240" w:lineRule="auto"/>
        <w:jc w:val="both"/>
        <w:rPr>
          <w:rFonts w:ascii="Times New Roman" w:hAnsi="Times New Roman"/>
          <w:sz w:val="24"/>
          <w:szCs w:val="24"/>
        </w:rPr>
      </w:pPr>
    </w:p>
    <w:p w14:paraId="68588E00" w14:textId="77777777" w:rsidR="002A479B" w:rsidRPr="002A479B" w:rsidRDefault="002A479B" w:rsidP="002A479B">
      <w:pPr>
        <w:spacing w:line="240" w:lineRule="auto"/>
        <w:jc w:val="both"/>
        <w:rPr>
          <w:rFonts w:ascii="Times New Roman" w:hAnsi="Times New Roman"/>
          <w:sz w:val="24"/>
          <w:szCs w:val="24"/>
        </w:rPr>
      </w:pPr>
    </w:p>
    <w:p w14:paraId="4AF12023" w14:textId="7D7D98F2" w:rsidR="00150A3A" w:rsidRPr="002A479B" w:rsidRDefault="004E2A01" w:rsidP="002A479B">
      <w:pPr>
        <w:pStyle w:val="Akapitzlist"/>
        <w:numPr>
          <w:ilvl w:val="0"/>
          <w:numId w:val="3"/>
        </w:numPr>
        <w:spacing w:line="240" w:lineRule="auto"/>
        <w:jc w:val="both"/>
        <w:rPr>
          <w:rFonts w:ascii="Times New Roman" w:hAnsi="Times New Roman"/>
          <w:b/>
          <w:sz w:val="24"/>
          <w:szCs w:val="24"/>
        </w:rPr>
      </w:pPr>
      <w:r w:rsidRPr="002A479B">
        <w:rPr>
          <w:rFonts w:ascii="Times New Roman" w:hAnsi="Times New Roman"/>
          <w:b/>
          <w:sz w:val="24"/>
          <w:szCs w:val="24"/>
        </w:rPr>
        <w:t xml:space="preserve">Przepisy przejściowe. </w:t>
      </w:r>
    </w:p>
    <w:p w14:paraId="56617B84" w14:textId="5F1F7B98" w:rsidR="001309F3" w:rsidRPr="002A479B" w:rsidRDefault="004B0D02" w:rsidP="002A479B">
      <w:pPr>
        <w:spacing w:line="240" w:lineRule="auto"/>
        <w:jc w:val="both"/>
        <w:rPr>
          <w:rFonts w:ascii="Times New Roman" w:hAnsi="Times New Roman"/>
          <w:sz w:val="24"/>
          <w:szCs w:val="24"/>
        </w:rPr>
      </w:pPr>
      <w:r w:rsidRPr="002A479B">
        <w:rPr>
          <w:rFonts w:ascii="Times New Roman" w:hAnsi="Times New Roman"/>
          <w:sz w:val="24"/>
          <w:szCs w:val="24"/>
        </w:rPr>
        <w:t>Zgodnie z art. 4 projektu</w:t>
      </w:r>
      <w:r w:rsidR="005D5EDC" w:rsidRPr="002A479B">
        <w:rPr>
          <w:rFonts w:ascii="Times New Roman" w:hAnsi="Times New Roman"/>
          <w:sz w:val="24"/>
          <w:szCs w:val="24"/>
        </w:rPr>
        <w:t>,</w:t>
      </w:r>
      <w:r w:rsidRPr="002A479B">
        <w:rPr>
          <w:rFonts w:ascii="Times New Roman" w:hAnsi="Times New Roman"/>
          <w:sz w:val="24"/>
          <w:szCs w:val="24"/>
        </w:rPr>
        <w:t xml:space="preserve"> przepisy w brzmieniu nadanym ustawą </w:t>
      </w:r>
      <w:r w:rsidR="001B563D" w:rsidRPr="002A479B">
        <w:rPr>
          <w:rFonts w:ascii="Times New Roman" w:hAnsi="Times New Roman"/>
          <w:sz w:val="24"/>
          <w:szCs w:val="24"/>
        </w:rPr>
        <w:t xml:space="preserve">nowelizującą </w:t>
      </w:r>
      <w:r w:rsidRPr="002A479B">
        <w:rPr>
          <w:rFonts w:ascii="Times New Roman" w:hAnsi="Times New Roman"/>
          <w:sz w:val="24"/>
          <w:szCs w:val="24"/>
        </w:rPr>
        <w:t xml:space="preserve">stosuje się do spraw wszczętych przed dniem jej wejścia w życie, jeżeli pozostałe przepisy intertemporalne nie stanowią inaczej. </w:t>
      </w:r>
      <w:r w:rsidR="00300F31" w:rsidRPr="002A479B">
        <w:rPr>
          <w:rFonts w:ascii="Times New Roman" w:hAnsi="Times New Roman"/>
          <w:sz w:val="24"/>
          <w:szCs w:val="24"/>
        </w:rPr>
        <w:t xml:space="preserve">O ile zasada ta co do przepisów procesowych nie jest kontrowersyjna, to zawsze powinno się mieć na względzie charakter poszczególnych zmian i ich wpływ na całe postępowanie, tak aby </w:t>
      </w:r>
      <w:r w:rsidR="00C3542A" w:rsidRPr="002A479B">
        <w:rPr>
          <w:rFonts w:ascii="Times New Roman" w:hAnsi="Times New Roman"/>
          <w:sz w:val="24"/>
          <w:szCs w:val="24"/>
        </w:rPr>
        <w:t xml:space="preserve">nie zmieniać </w:t>
      </w:r>
      <w:r w:rsidR="001B563D" w:rsidRPr="002A479B">
        <w:rPr>
          <w:rFonts w:ascii="Times New Roman" w:hAnsi="Times New Roman"/>
          <w:sz w:val="24"/>
          <w:szCs w:val="24"/>
        </w:rPr>
        <w:t>całkowicie z</w:t>
      </w:r>
      <w:r w:rsidR="00C3542A" w:rsidRPr="002A479B">
        <w:rPr>
          <w:rFonts w:ascii="Times New Roman" w:hAnsi="Times New Roman"/>
          <w:sz w:val="24"/>
          <w:szCs w:val="24"/>
        </w:rPr>
        <w:t xml:space="preserve"> chwilą wejścia w życie nowelizacji zasad funkcjonowania stron w postępowaniu. </w:t>
      </w:r>
    </w:p>
    <w:p w14:paraId="070A2F62" w14:textId="4149247A" w:rsidR="00C3542A" w:rsidRPr="002A479B" w:rsidRDefault="00C3542A"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Mając powyższe na względzie wskazać należy że przepisy intertemporalne nie przewidują odstępstw od głównej zasady wskazanej w art. 4 projektu </w:t>
      </w:r>
      <w:r w:rsidR="00AE496F" w:rsidRPr="002A479B">
        <w:rPr>
          <w:rFonts w:ascii="Times New Roman" w:hAnsi="Times New Roman"/>
          <w:sz w:val="24"/>
          <w:szCs w:val="24"/>
        </w:rPr>
        <w:t xml:space="preserve">przede wszystkim w odniesieniu do przepisów dotyczących obecności na rozprawie oskarżonego oraz </w:t>
      </w:r>
      <w:r w:rsidR="00C45D73" w:rsidRPr="002A479B">
        <w:rPr>
          <w:rFonts w:ascii="Times New Roman" w:hAnsi="Times New Roman"/>
          <w:sz w:val="24"/>
          <w:szCs w:val="24"/>
        </w:rPr>
        <w:t xml:space="preserve">zgłaszania dowodów. Tymczasem przepisy te w sposób znaczący wpływają na strategię </w:t>
      </w:r>
      <w:r w:rsidR="00696071" w:rsidRPr="002A479B">
        <w:rPr>
          <w:rFonts w:ascii="Times New Roman" w:hAnsi="Times New Roman"/>
          <w:sz w:val="24"/>
          <w:szCs w:val="24"/>
        </w:rPr>
        <w:t>obrony</w:t>
      </w:r>
      <w:r w:rsidR="00C46474" w:rsidRPr="002A479B">
        <w:rPr>
          <w:rFonts w:ascii="Times New Roman" w:hAnsi="Times New Roman"/>
          <w:sz w:val="24"/>
          <w:szCs w:val="24"/>
        </w:rPr>
        <w:t>, w szczególności co do kolejności składanych wniosków dowodowych</w:t>
      </w:r>
      <w:r w:rsidR="00696071" w:rsidRPr="002A479B">
        <w:rPr>
          <w:rFonts w:ascii="Times New Roman" w:hAnsi="Times New Roman"/>
          <w:sz w:val="24"/>
          <w:szCs w:val="24"/>
        </w:rPr>
        <w:t xml:space="preserve"> i sposobu przeprowadzenia poszczególnych dowodów. Przepisy te w sposób znaczący wpływają na tempo, dynamikę postępowania</w:t>
      </w:r>
      <w:r w:rsidR="0046105C" w:rsidRPr="002A479B">
        <w:rPr>
          <w:rFonts w:ascii="Times New Roman" w:hAnsi="Times New Roman"/>
          <w:sz w:val="24"/>
          <w:szCs w:val="24"/>
        </w:rPr>
        <w:t xml:space="preserve"> i</w:t>
      </w:r>
      <w:r w:rsidR="002A479B">
        <w:rPr>
          <w:rFonts w:ascii="Times New Roman" w:hAnsi="Times New Roman"/>
          <w:sz w:val="24"/>
          <w:szCs w:val="24"/>
        </w:rPr>
        <w:t> </w:t>
      </w:r>
      <w:r w:rsidR="0046105C" w:rsidRPr="002A479B">
        <w:rPr>
          <w:rFonts w:ascii="Times New Roman" w:hAnsi="Times New Roman"/>
          <w:sz w:val="24"/>
          <w:szCs w:val="24"/>
        </w:rPr>
        <w:t xml:space="preserve">możliwość udziału w rozprawie, a tym samym </w:t>
      </w:r>
      <w:r w:rsidR="00913FFA" w:rsidRPr="002A479B">
        <w:rPr>
          <w:rFonts w:ascii="Times New Roman" w:hAnsi="Times New Roman"/>
          <w:sz w:val="24"/>
          <w:szCs w:val="24"/>
        </w:rPr>
        <w:t xml:space="preserve">mogą całkowicie zmienić taktykę obrończą przyjętą w świetle dotychczasowych przepisów. Mając na względzie </w:t>
      </w:r>
      <w:r w:rsidR="00E3731F" w:rsidRPr="002A479B">
        <w:rPr>
          <w:rFonts w:ascii="Times New Roman" w:hAnsi="Times New Roman"/>
          <w:sz w:val="24"/>
          <w:szCs w:val="24"/>
        </w:rPr>
        <w:t>podkreślaną przez projektodawcę potrzebę przeciwdziałania obstrukcji procesowej oskarżonego,</w:t>
      </w:r>
      <w:r w:rsidR="00913FFA" w:rsidRPr="002A479B">
        <w:rPr>
          <w:rFonts w:ascii="Times New Roman" w:hAnsi="Times New Roman"/>
          <w:sz w:val="24"/>
          <w:szCs w:val="24"/>
        </w:rPr>
        <w:t xml:space="preserve"> </w:t>
      </w:r>
      <w:r w:rsidR="00E3731F" w:rsidRPr="002A479B">
        <w:rPr>
          <w:rFonts w:ascii="Times New Roman" w:hAnsi="Times New Roman"/>
          <w:sz w:val="24"/>
          <w:szCs w:val="24"/>
        </w:rPr>
        <w:t>p</w:t>
      </w:r>
      <w:r w:rsidR="00913FFA" w:rsidRPr="002A479B">
        <w:rPr>
          <w:rFonts w:ascii="Times New Roman" w:hAnsi="Times New Roman"/>
          <w:sz w:val="24"/>
          <w:szCs w:val="24"/>
        </w:rPr>
        <w:t xml:space="preserve">odkreślić należy </w:t>
      </w:r>
      <w:r w:rsidR="009A1264" w:rsidRPr="002A479B">
        <w:rPr>
          <w:rFonts w:ascii="Times New Roman" w:hAnsi="Times New Roman"/>
          <w:sz w:val="24"/>
          <w:szCs w:val="24"/>
        </w:rPr>
        <w:t xml:space="preserve">że przyjęta strategia obrony, uwzględniająca możliwość sukcesywnego składania wniosków dowodowych nie jest tożsama z obstrukcją procesową, lecz z </w:t>
      </w:r>
      <w:r w:rsidR="000F2123" w:rsidRPr="002A479B">
        <w:rPr>
          <w:rFonts w:ascii="Times New Roman" w:hAnsi="Times New Roman"/>
          <w:sz w:val="24"/>
          <w:szCs w:val="24"/>
        </w:rPr>
        <w:t>przemyślanym badaniem kolejnych okoliczności i odpowiedniego reagowania na pojawiające się w</w:t>
      </w:r>
      <w:r w:rsidR="002A479B">
        <w:rPr>
          <w:rFonts w:ascii="Times New Roman" w:hAnsi="Times New Roman"/>
          <w:sz w:val="24"/>
          <w:szCs w:val="24"/>
        </w:rPr>
        <w:t> </w:t>
      </w:r>
      <w:r w:rsidR="000F2123" w:rsidRPr="002A479B">
        <w:rPr>
          <w:rFonts w:ascii="Times New Roman" w:hAnsi="Times New Roman"/>
          <w:sz w:val="24"/>
          <w:szCs w:val="24"/>
        </w:rPr>
        <w:t xml:space="preserve">postępowaniu </w:t>
      </w:r>
      <w:r w:rsidR="00CA2C2F" w:rsidRPr="002A479B">
        <w:rPr>
          <w:rFonts w:ascii="Times New Roman" w:hAnsi="Times New Roman"/>
          <w:sz w:val="24"/>
          <w:szCs w:val="24"/>
        </w:rPr>
        <w:t xml:space="preserve">informacje, uzasadnione często stopniem skomplikowania sprawy pod względem faktycznym czy prawnym. </w:t>
      </w:r>
    </w:p>
    <w:p w14:paraId="29A29860" w14:textId="31612FBB" w:rsidR="006F3702" w:rsidRPr="002A479B" w:rsidRDefault="006F3702" w:rsidP="002A479B">
      <w:pPr>
        <w:spacing w:line="240" w:lineRule="auto"/>
        <w:jc w:val="center"/>
        <w:rPr>
          <w:rFonts w:ascii="Times New Roman" w:hAnsi="Times New Roman"/>
          <w:sz w:val="24"/>
          <w:szCs w:val="24"/>
        </w:rPr>
      </w:pPr>
      <w:r w:rsidRPr="002A479B">
        <w:rPr>
          <w:rFonts w:ascii="Times New Roman" w:hAnsi="Times New Roman"/>
          <w:sz w:val="24"/>
          <w:szCs w:val="24"/>
        </w:rPr>
        <w:t>***</w:t>
      </w:r>
    </w:p>
    <w:p w14:paraId="159E1E72" w14:textId="2B3ADDF3" w:rsidR="006F3702" w:rsidRPr="002A479B" w:rsidRDefault="006F3702" w:rsidP="002A479B">
      <w:pPr>
        <w:spacing w:line="240" w:lineRule="auto"/>
        <w:jc w:val="both"/>
        <w:rPr>
          <w:rFonts w:ascii="Times New Roman" w:hAnsi="Times New Roman"/>
          <w:sz w:val="24"/>
          <w:szCs w:val="24"/>
        </w:rPr>
      </w:pPr>
      <w:r w:rsidRPr="002A479B">
        <w:rPr>
          <w:rFonts w:ascii="Times New Roman" w:hAnsi="Times New Roman"/>
          <w:sz w:val="24"/>
          <w:szCs w:val="24"/>
        </w:rPr>
        <w:t xml:space="preserve">Podsumowując, wskazać należy, że najistotniejsze zmiany </w:t>
      </w:r>
      <w:r w:rsidR="004C38F7" w:rsidRPr="002A479B">
        <w:rPr>
          <w:rFonts w:ascii="Times New Roman" w:hAnsi="Times New Roman"/>
          <w:sz w:val="24"/>
          <w:szCs w:val="24"/>
        </w:rPr>
        <w:t xml:space="preserve">proponowane w projekcie budzą poważne wątpliwości i nie realizują zakładanych przez projekt celów bez naruszenia gwarancji procesowych. </w:t>
      </w:r>
      <w:r w:rsidR="00576E40" w:rsidRPr="002A479B">
        <w:rPr>
          <w:rFonts w:ascii="Times New Roman" w:hAnsi="Times New Roman"/>
          <w:sz w:val="24"/>
          <w:szCs w:val="24"/>
        </w:rPr>
        <w:t xml:space="preserve">Pozostałe zmiany nie mają zaś istotnego znaczenia dla przyśpieszenia postępowania. </w:t>
      </w:r>
    </w:p>
    <w:p w14:paraId="7B3FF8F9" w14:textId="603F6031" w:rsidR="00434066" w:rsidRPr="002A479B" w:rsidRDefault="00434066" w:rsidP="002A479B">
      <w:pPr>
        <w:spacing w:line="240" w:lineRule="auto"/>
        <w:jc w:val="both"/>
        <w:rPr>
          <w:rFonts w:ascii="Times New Roman" w:hAnsi="Times New Roman"/>
          <w:sz w:val="24"/>
          <w:szCs w:val="24"/>
        </w:rPr>
      </w:pPr>
    </w:p>
    <w:p w14:paraId="7A5A1BD4" w14:textId="10FB3E9A" w:rsidR="00434066" w:rsidRPr="002A479B" w:rsidRDefault="00434066" w:rsidP="002A479B">
      <w:pPr>
        <w:spacing w:after="0" w:line="240" w:lineRule="auto"/>
        <w:jc w:val="both"/>
        <w:rPr>
          <w:rFonts w:ascii="Times New Roman" w:hAnsi="Times New Roman"/>
          <w:i/>
          <w:sz w:val="24"/>
          <w:szCs w:val="24"/>
        </w:rPr>
      </w:pPr>
      <w:r w:rsidRPr="002A479B">
        <w:rPr>
          <w:rFonts w:ascii="Times New Roman" w:hAnsi="Times New Roman"/>
          <w:i/>
          <w:sz w:val="24"/>
          <w:szCs w:val="24"/>
        </w:rPr>
        <w:t xml:space="preserve">Sekcja Prawa i Postępowania Karnego </w:t>
      </w:r>
    </w:p>
    <w:p w14:paraId="119D65C7" w14:textId="7BB464B8" w:rsidR="00434066" w:rsidRPr="002A479B" w:rsidRDefault="00434066" w:rsidP="002A479B">
      <w:pPr>
        <w:spacing w:after="0" w:line="240" w:lineRule="auto"/>
        <w:jc w:val="both"/>
        <w:rPr>
          <w:rFonts w:ascii="Times New Roman" w:hAnsi="Times New Roman"/>
          <w:i/>
          <w:sz w:val="24"/>
          <w:szCs w:val="24"/>
        </w:rPr>
      </w:pPr>
      <w:r w:rsidRPr="002A479B">
        <w:rPr>
          <w:rFonts w:ascii="Times New Roman" w:hAnsi="Times New Roman"/>
          <w:i/>
          <w:sz w:val="24"/>
          <w:szCs w:val="24"/>
        </w:rPr>
        <w:t>przy Okręgowej Radzie Adwokackiej w Warszawie</w:t>
      </w:r>
    </w:p>
    <w:sectPr w:rsidR="00434066" w:rsidRPr="002A479B" w:rsidSect="000D06A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3F62C" w14:textId="77777777" w:rsidR="000D5DD2" w:rsidRDefault="000D5DD2" w:rsidP="009565EF">
      <w:pPr>
        <w:spacing w:after="0" w:line="240" w:lineRule="auto"/>
      </w:pPr>
      <w:r>
        <w:separator/>
      </w:r>
    </w:p>
  </w:endnote>
  <w:endnote w:type="continuationSeparator" w:id="0">
    <w:p w14:paraId="6599682E" w14:textId="77777777" w:rsidR="000D5DD2" w:rsidRDefault="000D5DD2" w:rsidP="0095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9BA3" w14:textId="77777777" w:rsidR="00DB5C9D" w:rsidRPr="000D06AF" w:rsidRDefault="0089757D" w:rsidP="000D06AF">
    <w:pPr>
      <w:pStyle w:val="Stopka"/>
      <w:jc w:val="right"/>
      <w:rPr>
        <w:sz w:val="16"/>
        <w:szCs w:val="16"/>
      </w:rPr>
    </w:pPr>
    <w:r w:rsidRPr="000D06AF">
      <w:rPr>
        <w:sz w:val="16"/>
        <w:szCs w:val="16"/>
      </w:rPr>
      <w:fldChar w:fldCharType="begin"/>
    </w:r>
    <w:r w:rsidR="00DB5C9D" w:rsidRPr="000D06AF">
      <w:rPr>
        <w:sz w:val="16"/>
        <w:szCs w:val="16"/>
      </w:rPr>
      <w:instrText xml:space="preserve"> PAGE   \* MERGEFORMAT </w:instrText>
    </w:r>
    <w:r w:rsidRPr="000D06AF">
      <w:rPr>
        <w:sz w:val="16"/>
        <w:szCs w:val="16"/>
      </w:rPr>
      <w:fldChar w:fldCharType="separate"/>
    </w:r>
    <w:r w:rsidR="00691B81">
      <w:rPr>
        <w:noProof/>
        <w:sz w:val="16"/>
        <w:szCs w:val="16"/>
      </w:rPr>
      <w:t>10</w:t>
    </w:r>
    <w:r w:rsidRPr="000D06A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B5916" w14:textId="77777777" w:rsidR="00DB5C9D" w:rsidRPr="000D06AF" w:rsidRDefault="00DB5C9D" w:rsidP="000D06A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4B14E" w14:textId="77777777" w:rsidR="000D5DD2" w:rsidRDefault="000D5DD2" w:rsidP="009565EF">
      <w:pPr>
        <w:spacing w:after="0" w:line="240" w:lineRule="auto"/>
      </w:pPr>
      <w:r>
        <w:separator/>
      </w:r>
    </w:p>
  </w:footnote>
  <w:footnote w:type="continuationSeparator" w:id="0">
    <w:p w14:paraId="46B4FEE1" w14:textId="77777777" w:rsidR="000D5DD2" w:rsidRDefault="000D5DD2" w:rsidP="0095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97855" w14:textId="77777777" w:rsidR="00DB5C9D" w:rsidRDefault="00DB5C9D" w:rsidP="000D06AF">
    <w:pPr>
      <w:pStyle w:val="ParagraphStyle1"/>
      <w:rPr>
        <w:color w:val="000000"/>
      </w:rPr>
    </w:pPr>
  </w:p>
  <w:p w14:paraId="4D9A3BFB" w14:textId="77777777" w:rsidR="00DB5C9D" w:rsidRDefault="00DB5C9D" w:rsidP="000D06AF">
    <w:pPr>
      <w:pStyle w:val="ParagraphStyle1"/>
      <w:rPr>
        <w:color w:val="000000"/>
      </w:rPr>
    </w:pPr>
  </w:p>
  <w:p w14:paraId="30FBE3A0" w14:textId="77777777" w:rsidR="00DB5C9D" w:rsidRDefault="00DB5C9D" w:rsidP="000D06AF">
    <w:pPr>
      <w:pStyle w:val="ParagraphStyle1"/>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78BE"/>
    <w:multiLevelType w:val="hybridMultilevel"/>
    <w:tmpl w:val="EA2C3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D15E08"/>
    <w:multiLevelType w:val="hybridMultilevel"/>
    <w:tmpl w:val="AC2CC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E93082"/>
    <w:multiLevelType w:val="hybridMultilevel"/>
    <w:tmpl w:val="6B065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CE6331"/>
    <w:multiLevelType w:val="hybridMultilevel"/>
    <w:tmpl w:val="E9748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156A5A"/>
    <w:multiLevelType w:val="hybridMultilevel"/>
    <w:tmpl w:val="28E2F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75"/>
    <w:rsid w:val="0000274C"/>
    <w:rsid w:val="0000328C"/>
    <w:rsid w:val="0000411A"/>
    <w:rsid w:val="00005551"/>
    <w:rsid w:val="000056C5"/>
    <w:rsid w:val="00011EAF"/>
    <w:rsid w:val="00012B9E"/>
    <w:rsid w:val="00016829"/>
    <w:rsid w:val="00017AF0"/>
    <w:rsid w:val="00023BE0"/>
    <w:rsid w:val="0003324A"/>
    <w:rsid w:val="000359E9"/>
    <w:rsid w:val="00040259"/>
    <w:rsid w:val="00045E17"/>
    <w:rsid w:val="00046C7E"/>
    <w:rsid w:val="000475F6"/>
    <w:rsid w:val="00047945"/>
    <w:rsid w:val="00066DE6"/>
    <w:rsid w:val="00067B45"/>
    <w:rsid w:val="0008024E"/>
    <w:rsid w:val="0008083C"/>
    <w:rsid w:val="000810DD"/>
    <w:rsid w:val="000827B7"/>
    <w:rsid w:val="0009005B"/>
    <w:rsid w:val="0009134B"/>
    <w:rsid w:val="00093A23"/>
    <w:rsid w:val="00096C09"/>
    <w:rsid w:val="000977C7"/>
    <w:rsid w:val="000A1327"/>
    <w:rsid w:val="000A3E00"/>
    <w:rsid w:val="000A6037"/>
    <w:rsid w:val="000B2F3A"/>
    <w:rsid w:val="000C403B"/>
    <w:rsid w:val="000D06AF"/>
    <w:rsid w:val="000D5DD2"/>
    <w:rsid w:val="000D63EF"/>
    <w:rsid w:val="000D6458"/>
    <w:rsid w:val="000D735F"/>
    <w:rsid w:val="000E184C"/>
    <w:rsid w:val="000E412D"/>
    <w:rsid w:val="000E6BA3"/>
    <w:rsid w:val="000E7923"/>
    <w:rsid w:val="000F07E5"/>
    <w:rsid w:val="000F2123"/>
    <w:rsid w:val="000F6049"/>
    <w:rsid w:val="00100136"/>
    <w:rsid w:val="0010528F"/>
    <w:rsid w:val="00110145"/>
    <w:rsid w:val="00110AC6"/>
    <w:rsid w:val="00111C33"/>
    <w:rsid w:val="00112B86"/>
    <w:rsid w:val="001158A5"/>
    <w:rsid w:val="001158FC"/>
    <w:rsid w:val="00117AE7"/>
    <w:rsid w:val="001205DB"/>
    <w:rsid w:val="00121DE2"/>
    <w:rsid w:val="00122418"/>
    <w:rsid w:val="001309F3"/>
    <w:rsid w:val="00133646"/>
    <w:rsid w:val="00135E87"/>
    <w:rsid w:val="001458D5"/>
    <w:rsid w:val="00150A3A"/>
    <w:rsid w:val="001571AD"/>
    <w:rsid w:val="00160A99"/>
    <w:rsid w:val="00163449"/>
    <w:rsid w:val="00181BD7"/>
    <w:rsid w:val="001850ED"/>
    <w:rsid w:val="00186E8E"/>
    <w:rsid w:val="00186F1C"/>
    <w:rsid w:val="00187C17"/>
    <w:rsid w:val="00192066"/>
    <w:rsid w:val="0019741A"/>
    <w:rsid w:val="00197990"/>
    <w:rsid w:val="001A026D"/>
    <w:rsid w:val="001A0378"/>
    <w:rsid w:val="001A5E1D"/>
    <w:rsid w:val="001A6718"/>
    <w:rsid w:val="001B563D"/>
    <w:rsid w:val="001B6FD0"/>
    <w:rsid w:val="001B75DF"/>
    <w:rsid w:val="001C42E3"/>
    <w:rsid w:val="001C4C03"/>
    <w:rsid w:val="001C4F06"/>
    <w:rsid w:val="001D153A"/>
    <w:rsid w:val="001D1B34"/>
    <w:rsid w:val="001D370B"/>
    <w:rsid w:val="001D46AB"/>
    <w:rsid w:val="001D4E20"/>
    <w:rsid w:val="001D4E6F"/>
    <w:rsid w:val="001D5AC6"/>
    <w:rsid w:val="001D5ACD"/>
    <w:rsid w:val="001E014F"/>
    <w:rsid w:val="001E26AA"/>
    <w:rsid w:val="001F0C6D"/>
    <w:rsid w:val="001F369A"/>
    <w:rsid w:val="00202C00"/>
    <w:rsid w:val="00203F6B"/>
    <w:rsid w:val="002145C6"/>
    <w:rsid w:val="00214E6C"/>
    <w:rsid w:val="00216D15"/>
    <w:rsid w:val="00221275"/>
    <w:rsid w:val="00222C90"/>
    <w:rsid w:val="00225329"/>
    <w:rsid w:val="00233209"/>
    <w:rsid w:val="00234DEE"/>
    <w:rsid w:val="002404C0"/>
    <w:rsid w:val="00241523"/>
    <w:rsid w:val="002434FE"/>
    <w:rsid w:val="00252146"/>
    <w:rsid w:val="002579DB"/>
    <w:rsid w:val="002626F0"/>
    <w:rsid w:val="00263B32"/>
    <w:rsid w:val="00264E6D"/>
    <w:rsid w:val="0027277B"/>
    <w:rsid w:val="00276A9E"/>
    <w:rsid w:val="00277494"/>
    <w:rsid w:val="00283327"/>
    <w:rsid w:val="00284B86"/>
    <w:rsid w:val="00285161"/>
    <w:rsid w:val="0028570C"/>
    <w:rsid w:val="00286857"/>
    <w:rsid w:val="0029294C"/>
    <w:rsid w:val="002931CE"/>
    <w:rsid w:val="00296F6B"/>
    <w:rsid w:val="002A293C"/>
    <w:rsid w:val="002A479B"/>
    <w:rsid w:val="002B2F83"/>
    <w:rsid w:val="002B45F9"/>
    <w:rsid w:val="002B4FD5"/>
    <w:rsid w:val="002C100D"/>
    <w:rsid w:val="002C1A00"/>
    <w:rsid w:val="002C2A90"/>
    <w:rsid w:val="002C38AF"/>
    <w:rsid w:val="002C3E0F"/>
    <w:rsid w:val="002C3F91"/>
    <w:rsid w:val="002D0628"/>
    <w:rsid w:val="002D1653"/>
    <w:rsid w:val="002D1B2A"/>
    <w:rsid w:val="002D331E"/>
    <w:rsid w:val="002D4671"/>
    <w:rsid w:val="002D58B4"/>
    <w:rsid w:val="002E28E4"/>
    <w:rsid w:val="002E4776"/>
    <w:rsid w:val="002F0A66"/>
    <w:rsid w:val="002F0B21"/>
    <w:rsid w:val="002F6D6E"/>
    <w:rsid w:val="002F714B"/>
    <w:rsid w:val="00300F31"/>
    <w:rsid w:val="00305129"/>
    <w:rsid w:val="00307BB1"/>
    <w:rsid w:val="00314606"/>
    <w:rsid w:val="00321F60"/>
    <w:rsid w:val="00322598"/>
    <w:rsid w:val="00322C0D"/>
    <w:rsid w:val="003234B3"/>
    <w:rsid w:val="00326FF3"/>
    <w:rsid w:val="003321F4"/>
    <w:rsid w:val="003363AD"/>
    <w:rsid w:val="003415E6"/>
    <w:rsid w:val="00342FE7"/>
    <w:rsid w:val="003444EE"/>
    <w:rsid w:val="0034480D"/>
    <w:rsid w:val="00345AF5"/>
    <w:rsid w:val="00345DDB"/>
    <w:rsid w:val="003463DC"/>
    <w:rsid w:val="00352452"/>
    <w:rsid w:val="00352744"/>
    <w:rsid w:val="003533B7"/>
    <w:rsid w:val="00353DD3"/>
    <w:rsid w:val="003554E2"/>
    <w:rsid w:val="00356D99"/>
    <w:rsid w:val="00362360"/>
    <w:rsid w:val="00364798"/>
    <w:rsid w:val="00365EF0"/>
    <w:rsid w:val="00375CED"/>
    <w:rsid w:val="003802AD"/>
    <w:rsid w:val="00380740"/>
    <w:rsid w:val="00380DF5"/>
    <w:rsid w:val="003831AA"/>
    <w:rsid w:val="003838CB"/>
    <w:rsid w:val="00387693"/>
    <w:rsid w:val="00387716"/>
    <w:rsid w:val="0039370A"/>
    <w:rsid w:val="00393CDA"/>
    <w:rsid w:val="003953B3"/>
    <w:rsid w:val="003A214B"/>
    <w:rsid w:val="003A33EC"/>
    <w:rsid w:val="003B35BE"/>
    <w:rsid w:val="003B4103"/>
    <w:rsid w:val="003C2F28"/>
    <w:rsid w:val="003D1165"/>
    <w:rsid w:val="003D12B6"/>
    <w:rsid w:val="003D235E"/>
    <w:rsid w:val="003D561F"/>
    <w:rsid w:val="003E1851"/>
    <w:rsid w:val="003F1D0B"/>
    <w:rsid w:val="003F5EBF"/>
    <w:rsid w:val="003F5FE0"/>
    <w:rsid w:val="004016A3"/>
    <w:rsid w:val="004044FA"/>
    <w:rsid w:val="0041277F"/>
    <w:rsid w:val="00413CE7"/>
    <w:rsid w:val="00417778"/>
    <w:rsid w:val="00421A90"/>
    <w:rsid w:val="00422509"/>
    <w:rsid w:val="00426969"/>
    <w:rsid w:val="00427D0B"/>
    <w:rsid w:val="0043172B"/>
    <w:rsid w:val="004317F3"/>
    <w:rsid w:val="00434066"/>
    <w:rsid w:val="00434F19"/>
    <w:rsid w:val="00440475"/>
    <w:rsid w:val="00440F87"/>
    <w:rsid w:val="004426E5"/>
    <w:rsid w:val="0044657B"/>
    <w:rsid w:val="00452F6D"/>
    <w:rsid w:val="00453552"/>
    <w:rsid w:val="00457A7A"/>
    <w:rsid w:val="0046105C"/>
    <w:rsid w:val="00463C0A"/>
    <w:rsid w:val="00466823"/>
    <w:rsid w:val="00467D3C"/>
    <w:rsid w:val="004724E4"/>
    <w:rsid w:val="004748C8"/>
    <w:rsid w:val="004877A6"/>
    <w:rsid w:val="00492154"/>
    <w:rsid w:val="004933C0"/>
    <w:rsid w:val="00493C52"/>
    <w:rsid w:val="004A0133"/>
    <w:rsid w:val="004A0945"/>
    <w:rsid w:val="004A5C36"/>
    <w:rsid w:val="004A6FC6"/>
    <w:rsid w:val="004B0D02"/>
    <w:rsid w:val="004B1D85"/>
    <w:rsid w:val="004B2F1E"/>
    <w:rsid w:val="004B3152"/>
    <w:rsid w:val="004C275D"/>
    <w:rsid w:val="004C38F7"/>
    <w:rsid w:val="004C3F75"/>
    <w:rsid w:val="004C4863"/>
    <w:rsid w:val="004C7638"/>
    <w:rsid w:val="004D1BE7"/>
    <w:rsid w:val="004D2713"/>
    <w:rsid w:val="004D6C14"/>
    <w:rsid w:val="004E2A01"/>
    <w:rsid w:val="004E7739"/>
    <w:rsid w:val="004F12D1"/>
    <w:rsid w:val="00502D11"/>
    <w:rsid w:val="00510070"/>
    <w:rsid w:val="00511EC4"/>
    <w:rsid w:val="005136BE"/>
    <w:rsid w:val="00521055"/>
    <w:rsid w:val="005223B0"/>
    <w:rsid w:val="00525D9C"/>
    <w:rsid w:val="00527C62"/>
    <w:rsid w:val="00532520"/>
    <w:rsid w:val="00535BD1"/>
    <w:rsid w:val="00536D92"/>
    <w:rsid w:val="0054379B"/>
    <w:rsid w:val="0055051B"/>
    <w:rsid w:val="00555549"/>
    <w:rsid w:val="00562848"/>
    <w:rsid w:val="00563A3E"/>
    <w:rsid w:val="00564EE9"/>
    <w:rsid w:val="00564F34"/>
    <w:rsid w:val="00566390"/>
    <w:rsid w:val="00567C72"/>
    <w:rsid w:val="00572A58"/>
    <w:rsid w:val="00576E40"/>
    <w:rsid w:val="005771C8"/>
    <w:rsid w:val="00584DE9"/>
    <w:rsid w:val="0058676A"/>
    <w:rsid w:val="0059037F"/>
    <w:rsid w:val="00590AB5"/>
    <w:rsid w:val="005A2167"/>
    <w:rsid w:val="005A3316"/>
    <w:rsid w:val="005A4262"/>
    <w:rsid w:val="005A4B17"/>
    <w:rsid w:val="005A5F3E"/>
    <w:rsid w:val="005A76B6"/>
    <w:rsid w:val="005C22FE"/>
    <w:rsid w:val="005C62C3"/>
    <w:rsid w:val="005C6F41"/>
    <w:rsid w:val="005D11DC"/>
    <w:rsid w:val="005D164C"/>
    <w:rsid w:val="005D5EDC"/>
    <w:rsid w:val="005E42BB"/>
    <w:rsid w:val="005E6A79"/>
    <w:rsid w:val="005F0C63"/>
    <w:rsid w:val="005F310A"/>
    <w:rsid w:val="00602CBC"/>
    <w:rsid w:val="00611D65"/>
    <w:rsid w:val="00612847"/>
    <w:rsid w:val="0061612D"/>
    <w:rsid w:val="00623B9B"/>
    <w:rsid w:val="00624065"/>
    <w:rsid w:val="00626793"/>
    <w:rsid w:val="00633D49"/>
    <w:rsid w:val="00640BD1"/>
    <w:rsid w:val="00642809"/>
    <w:rsid w:val="00643058"/>
    <w:rsid w:val="00647F31"/>
    <w:rsid w:val="00660998"/>
    <w:rsid w:val="0066305D"/>
    <w:rsid w:val="00663E65"/>
    <w:rsid w:val="00671547"/>
    <w:rsid w:val="0067251E"/>
    <w:rsid w:val="00673EAD"/>
    <w:rsid w:val="006746AD"/>
    <w:rsid w:val="00675100"/>
    <w:rsid w:val="00675523"/>
    <w:rsid w:val="00675F93"/>
    <w:rsid w:val="00676674"/>
    <w:rsid w:val="006857F2"/>
    <w:rsid w:val="006901BE"/>
    <w:rsid w:val="00691B81"/>
    <w:rsid w:val="00694263"/>
    <w:rsid w:val="006955C5"/>
    <w:rsid w:val="00696071"/>
    <w:rsid w:val="00696153"/>
    <w:rsid w:val="006A2819"/>
    <w:rsid w:val="006A68D2"/>
    <w:rsid w:val="006B37C6"/>
    <w:rsid w:val="006C732C"/>
    <w:rsid w:val="006C7FD8"/>
    <w:rsid w:val="006D01FC"/>
    <w:rsid w:val="006D1F0C"/>
    <w:rsid w:val="006D1F3C"/>
    <w:rsid w:val="006D1F70"/>
    <w:rsid w:val="006D37D7"/>
    <w:rsid w:val="006D3FDC"/>
    <w:rsid w:val="006D5B33"/>
    <w:rsid w:val="006D615B"/>
    <w:rsid w:val="006D6D15"/>
    <w:rsid w:val="006E5C4D"/>
    <w:rsid w:val="006E61EB"/>
    <w:rsid w:val="006E73F0"/>
    <w:rsid w:val="006F197B"/>
    <w:rsid w:val="006F1EDC"/>
    <w:rsid w:val="006F2B8E"/>
    <w:rsid w:val="006F3702"/>
    <w:rsid w:val="006F665E"/>
    <w:rsid w:val="007009F7"/>
    <w:rsid w:val="00712599"/>
    <w:rsid w:val="00714CEC"/>
    <w:rsid w:val="00716007"/>
    <w:rsid w:val="0071698F"/>
    <w:rsid w:val="0072377B"/>
    <w:rsid w:val="00725F26"/>
    <w:rsid w:val="00726060"/>
    <w:rsid w:val="00731E3F"/>
    <w:rsid w:val="00733607"/>
    <w:rsid w:val="0073568A"/>
    <w:rsid w:val="007427BB"/>
    <w:rsid w:val="00747177"/>
    <w:rsid w:val="00754F5D"/>
    <w:rsid w:val="00756283"/>
    <w:rsid w:val="00757496"/>
    <w:rsid w:val="00760EF0"/>
    <w:rsid w:val="0076244A"/>
    <w:rsid w:val="00762ADA"/>
    <w:rsid w:val="00775B79"/>
    <w:rsid w:val="00776042"/>
    <w:rsid w:val="00783BE0"/>
    <w:rsid w:val="00783D66"/>
    <w:rsid w:val="00791804"/>
    <w:rsid w:val="00797888"/>
    <w:rsid w:val="007A2C1D"/>
    <w:rsid w:val="007A5609"/>
    <w:rsid w:val="007B30D4"/>
    <w:rsid w:val="007B391A"/>
    <w:rsid w:val="007B740B"/>
    <w:rsid w:val="007C11DE"/>
    <w:rsid w:val="007C38B6"/>
    <w:rsid w:val="007C5203"/>
    <w:rsid w:val="007C6E69"/>
    <w:rsid w:val="007D058E"/>
    <w:rsid w:val="007D4463"/>
    <w:rsid w:val="007D4F99"/>
    <w:rsid w:val="007D710F"/>
    <w:rsid w:val="007E0EC1"/>
    <w:rsid w:val="007E17A0"/>
    <w:rsid w:val="007E23A0"/>
    <w:rsid w:val="007E6094"/>
    <w:rsid w:val="007F3516"/>
    <w:rsid w:val="007F6180"/>
    <w:rsid w:val="007F688F"/>
    <w:rsid w:val="00801B9D"/>
    <w:rsid w:val="0080209E"/>
    <w:rsid w:val="00802F88"/>
    <w:rsid w:val="00805FA0"/>
    <w:rsid w:val="00814277"/>
    <w:rsid w:val="00823660"/>
    <w:rsid w:val="008246C0"/>
    <w:rsid w:val="0082522F"/>
    <w:rsid w:val="0083052D"/>
    <w:rsid w:val="0083069E"/>
    <w:rsid w:val="00831064"/>
    <w:rsid w:val="00836C25"/>
    <w:rsid w:val="00840927"/>
    <w:rsid w:val="008410BC"/>
    <w:rsid w:val="0085445D"/>
    <w:rsid w:val="00862150"/>
    <w:rsid w:val="00864A9B"/>
    <w:rsid w:val="008657BC"/>
    <w:rsid w:val="00871C0F"/>
    <w:rsid w:val="0087212B"/>
    <w:rsid w:val="00873E9B"/>
    <w:rsid w:val="00877058"/>
    <w:rsid w:val="00882005"/>
    <w:rsid w:val="008838B3"/>
    <w:rsid w:val="00883DAB"/>
    <w:rsid w:val="008845B4"/>
    <w:rsid w:val="008872D9"/>
    <w:rsid w:val="00892594"/>
    <w:rsid w:val="00895606"/>
    <w:rsid w:val="008968FA"/>
    <w:rsid w:val="0089757D"/>
    <w:rsid w:val="00897FB1"/>
    <w:rsid w:val="008A24C5"/>
    <w:rsid w:val="008A5B2C"/>
    <w:rsid w:val="008B427E"/>
    <w:rsid w:val="008B794A"/>
    <w:rsid w:val="008C23B5"/>
    <w:rsid w:val="008C534F"/>
    <w:rsid w:val="008D1800"/>
    <w:rsid w:val="008E2D99"/>
    <w:rsid w:val="008E30E9"/>
    <w:rsid w:val="008E4D05"/>
    <w:rsid w:val="008F3317"/>
    <w:rsid w:val="008F3C46"/>
    <w:rsid w:val="00902481"/>
    <w:rsid w:val="00902C63"/>
    <w:rsid w:val="009044F3"/>
    <w:rsid w:val="009067EE"/>
    <w:rsid w:val="00907514"/>
    <w:rsid w:val="00913D62"/>
    <w:rsid w:val="00913FFA"/>
    <w:rsid w:val="00915D9E"/>
    <w:rsid w:val="0092251F"/>
    <w:rsid w:val="00922B2A"/>
    <w:rsid w:val="00924DDD"/>
    <w:rsid w:val="0092528A"/>
    <w:rsid w:val="00927238"/>
    <w:rsid w:val="009300F0"/>
    <w:rsid w:val="00930FE9"/>
    <w:rsid w:val="00931225"/>
    <w:rsid w:val="00942998"/>
    <w:rsid w:val="009460DB"/>
    <w:rsid w:val="00950C5D"/>
    <w:rsid w:val="0095459F"/>
    <w:rsid w:val="00955773"/>
    <w:rsid w:val="00955DD5"/>
    <w:rsid w:val="009565EF"/>
    <w:rsid w:val="0095725F"/>
    <w:rsid w:val="00957C9A"/>
    <w:rsid w:val="0096546F"/>
    <w:rsid w:val="0096635B"/>
    <w:rsid w:val="009727AC"/>
    <w:rsid w:val="00973DBB"/>
    <w:rsid w:val="00976590"/>
    <w:rsid w:val="009944A4"/>
    <w:rsid w:val="009949A2"/>
    <w:rsid w:val="009A1264"/>
    <w:rsid w:val="009B2EC1"/>
    <w:rsid w:val="009B47D5"/>
    <w:rsid w:val="009B5D46"/>
    <w:rsid w:val="009B6F35"/>
    <w:rsid w:val="009C230A"/>
    <w:rsid w:val="009C3774"/>
    <w:rsid w:val="009D46A7"/>
    <w:rsid w:val="009D6679"/>
    <w:rsid w:val="009D7016"/>
    <w:rsid w:val="009D705A"/>
    <w:rsid w:val="009F197D"/>
    <w:rsid w:val="009F3A8C"/>
    <w:rsid w:val="00A01ED0"/>
    <w:rsid w:val="00A02A66"/>
    <w:rsid w:val="00A0411A"/>
    <w:rsid w:val="00A10653"/>
    <w:rsid w:val="00A10F74"/>
    <w:rsid w:val="00A11AF8"/>
    <w:rsid w:val="00A234FB"/>
    <w:rsid w:val="00A23F97"/>
    <w:rsid w:val="00A31741"/>
    <w:rsid w:val="00A35C05"/>
    <w:rsid w:val="00A470D6"/>
    <w:rsid w:val="00A52BFD"/>
    <w:rsid w:val="00A536C7"/>
    <w:rsid w:val="00A61F51"/>
    <w:rsid w:val="00A65987"/>
    <w:rsid w:val="00A73AAB"/>
    <w:rsid w:val="00A73F55"/>
    <w:rsid w:val="00A74AB4"/>
    <w:rsid w:val="00A808C3"/>
    <w:rsid w:val="00A809A0"/>
    <w:rsid w:val="00A81CA9"/>
    <w:rsid w:val="00A82643"/>
    <w:rsid w:val="00A831E9"/>
    <w:rsid w:val="00A87031"/>
    <w:rsid w:val="00A95148"/>
    <w:rsid w:val="00A96D77"/>
    <w:rsid w:val="00AA2ED2"/>
    <w:rsid w:val="00AB2158"/>
    <w:rsid w:val="00AB367A"/>
    <w:rsid w:val="00AB4985"/>
    <w:rsid w:val="00AB4C95"/>
    <w:rsid w:val="00AB752A"/>
    <w:rsid w:val="00AC09E4"/>
    <w:rsid w:val="00AC31E0"/>
    <w:rsid w:val="00AC4D17"/>
    <w:rsid w:val="00AC6B4E"/>
    <w:rsid w:val="00AC71C6"/>
    <w:rsid w:val="00AD087D"/>
    <w:rsid w:val="00AD1980"/>
    <w:rsid w:val="00AD4A72"/>
    <w:rsid w:val="00AE0834"/>
    <w:rsid w:val="00AE186D"/>
    <w:rsid w:val="00AE3061"/>
    <w:rsid w:val="00AE32A5"/>
    <w:rsid w:val="00AE3726"/>
    <w:rsid w:val="00AE496F"/>
    <w:rsid w:val="00AF1287"/>
    <w:rsid w:val="00AF1D26"/>
    <w:rsid w:val="00AF24B1"/>
    <w:rsid w:val="00AF2BA7"/>
    <w:rsid w:val="00AF325B"/>
    <w:rsid w:val="00AF7487"/>
    <w:rsid w:val="00B02047"/>
    <w:rsid w:val="00B02168"/>
    <w:rsid w:val="00B03B09"/>
    <w:rsid w:val="00B05576"/>
    <w:rsid w:val="00B12428"/>
    <w:rsid w:val="00B173EE"/>
    <w:rsid w:val="00B26809"/>
    <w:rsid w:val="00B26AC0"/>
    <w:rsid w:val="00B31FBC"/>
    <w:rsid w:val="00B3411F"/>
    <w:rsid w:val="00B35C01"/>
    <w:rsid w:val="00B46C91"/>
    <w:rsid w:val="00B47947"/>
    <w:rsid w:val="00B47A25"/>
    <w:rsid w:val="00B5043D"/>
    <w:rsid w:val="00B50B63"/>
    <w:rsid w:val="00B60A6B"/>
    <w:rsid w:val="00B65481"/>
    <w:rsid w:val="00B7366E"/>
    <w:rsid w:val="00B76BAA"/>
    <w:rsid w:val="00B77995"/>
    <w:rsid w:val="00B82035"/>
    <w:rsid w:val="00B92331"/>
    <w:rsid w:val="00B93691"/>
    <w:rsid w:val="00B97303"/>
    <w:rsid w:val="00BA59CE"/>
    <w:rsid w:val="00BB36B0"/>
    <w:rsid w:val="00BC126B"/>
    <w:rsid w:val="00BC4327"/>
    <w:rsid w:val="00BC75EF"/>
    <w:rsid w:val="00BE4098"/>
    <w:rsid w:val="00BE737D"/>
    <w:rsid w:val="00BF00B1"/>
    <w:rsid w:val="00BF1D19"/>
    <w:rsid w:val="00BF60FA"/>
    <w:rsid w:val="00C01534"/>
    <w:rsid w:val="00C04913"/>
    <w:rsid w:val="00C054C9"/>
    <w:rsid w:val="00C0553D"/>
    <w:rsid w:val="00C05E64"/>
    <w:rsid w:val="00C07815"/>
    <w:rsid w:val="00C14033"/>
    <w:rsid w:val="00C16E19"/>
    <w:rsid w:val="00C208E0"/>
    <w:rsid w:val="00C239C2"/>
    <w:rsid w:val="00C24F4D"/>
    <w:rsid w:val="00C31959"/>
    <w:rsid w:val="00C32133"/>
    <w:rsid w:val="00C3542A"/>
    <w:rsid w:val="00C45D73"/>
    <w:rsid w:val="00C46474"/>
    <w:rsid w:val="00C464F7"/>
    <w:rsid w:val="00C467CB"/>
    <w:rsid w:val="00C476A2"/>
    <w:rsid w:val="00C47C31"/>
    <w:rsid w:val="00C500F7"/>
    <w:rsid w:val="00C50777"/>
    <w:rsid w:val="00C53E44"/>
    <w:rsid w:val="00C56C10"/>
    <w:rsid w:val="00C575E3"/>
    <w:rsid w:val="00C60AE7"/>
    <w:rsid w:val="00C60B2E"/>
    <w:rsid w:val="00C62209"/>
    <w:rsid w:val="00C63738"/>
    <w:rsid w:val="00C65A74"/>
    <w:rsid w:val="00C72BDA"/>
    <w:rsid w:val="00C76810"/>
    <w:rsid w:val="00CA2C2F"/>
    <w:rsid w:val="00CA4D16"/>
    <w:rsid w:val="00CA541F"/>
    <w:rsid w:val="00CB11F8"/>
    <w:rsid w:val="00CE1C90"/>
    <w:rsid w:val="00CE60C8"/>
    <w:rsid w:val="00CE66E1"/>
    <w:rsid w:val="00CF03AE"/>
    <w:rsid w:val="00CF5D67"/>
    <w:rsid w:val="00CF7A58"/>
    <w:rsid w:val="00CF7E52"/>
    <w:rsid w:val="00D00A2F"/>
    <w:rsid w:val="00D01CA3"/>
    <w:rsid w:val="00D052D4"/>
    <w:rsid w:val="00D054A4"/>
    <w:rsid w:val="00D07F16"/>
    <w:rsid w:val="00D11555"/>
    <w:rsid w:val="00D17AFA"/>
    <w:rsid w:val="00D20389"/>
    <w:rsid w:val="00D24C45"/>
    <w:rsid w:val="00D25AB4"/>
    <w:rsid w:val="00D32227"/>
    <w:rsid w:val="00D3496F"/>
    <w:rsid w:val="00D36241"/>
    <w:rsid w:val="00D37904"/>
    <w:rsid w:val="00D435B1"/>
    <w:rsid w:val="00D440CF"/>
    <w:rsid w:val="00D4411D"/>
    <w:rsid w:val="00D4570C"/>
    <w:rsid w:val="00D45B99"/>
    <w:rsid w:val="00D573C0"/>
    <w:rsid w:val="00D60756"/>
    <w:rsid w:val="00D60766"/>
    <w:rsid w:val="00D63E17"/>
    <w:rsid w:val="00D66BCC"/>
    <w:rsid w:val="00D67FE9"/>
    <w:rsid w:val="00D76228"/>
    <w:rsid w:val="00D81CE8"/>
    <w:rsid w:val="00D83B1A"/>
    <w:rsid w:val="00D85C96"/>
    <w:rsid w:val="00D91305"/>
    <w:rsid w:val="00D97255"/>
    <w:rsid w:val="00DA0E6C"/>
    <w:rsid w:val="00DB09F7"/>
    <w:rsid w:val="00DB33FD"/>
    <w:rsid w:val="00DB379D"/>
    <w:rsid w:val="00DB5C9D"/>
    <w:rsid w:val="00DC4219"/>
    <w:rsid w:val="00DC4B68"/>
    <w:rsid w:val="00DC5BE3"/>
    <w:rsid w:val="00DD6638"/>
    <w:rsid w:val="00DD6899"/>
    <w:rsid w:val="00DE3EDA"/>
    <w:rsid w:val="00DE5F32"/>
    <w:rsid w:val="00DF0CB5"/>
    <w:rsid w:val="00DF30DC"/>
    <w:rsid w:val="00DF388A"/>
    <w:rsid w:val="00E00AD4"/>
    <w:rsid w:val="00E011E0"/>
    <w:rsid w:val="00E03358"/>
    <w:rsid w:val="00E06D55"/>
    <w:rsid w:val="00E06EC3"/>
    <w:rsid w:val="00E123DB"/>
    <w:rsid w:val="00E14153"/>
    <w:rsid w:val="00E1513B"/>
    <w:rsid w:val="00E16289"/>
    <w:rsid w:val="00E2282F"/>
    <w:rsid w:val="00E31B8A"/>
    <w:rsid w:val="00E330DC"/>
    <w:rsid w:val="00E3731F"/>
    <w:rsid w:val="00E41D4E"/>
    <w:rsid w:val="00E4280A"/>
    <w:rsid w:val="00E43A80"/>
    <w:rsid w:val="00E55781"/>
    <w:rsid w:val="00E651F3"/>
    <w:rsid w:val="00E67737"/>
    <w:rsid w:val="00E7504D"/>
    <w:rsid w:val="00E8101D"/>
    <w:rsid w:val="00E818A6"/>
    <w:rsid w:val="00E81FC0"/>
    <w:rsid w:val="00E846C0"/>
    <w:rsid w:val="00E96EB1"/>
    <w:rsid w:val="00EA1451"/>
    <w:rsid w:val="00EA3440"/>
    <w:rsid w:val="00EA4B04"/>
    <w:rsid w:val="00EB4765"/>
    <w:rsid w:val="00EB580B"/>
    <w:rsid w:val="00EB5BDC"/>
    <w:rsid w:val="00EC02F4"/>
    <w:rsid w:val="00EC1592"/>
    <w:rsid w:val="00EC5690"/>
    <w:rsid w:val="00EC6483"/>
    <w:rsid w:val="00ED534F"/>
    <w:rsid w:val="00EE586A"/>
    <w:rsid w:val="00EE7780"/>
    <w:rsid w:val="00EE7902"/>
    <w:rsid w:val="00EF7AC7"/>
    <w:rsid w:val="00F010FE"/>
    <w:rsid w:val="00F01EBE"/>
    <w:rsid w:val="00F058FF"/>
    <w:rsid w:val="00F11E36"/>
    <w:rsid w:val="00F13043"/>
    <w:rsid w:val="00F13AB1"/>
    <w:rsid w:val="00F30672"/>
    <w:rsid w:val="00F3312E"/>
    <w:rsid w:val="00F44D9F"/>
    <w:rsid w:val="00F457B8"/>
    <w:rsid w:val="00F4619E"/>
    <w:rsid w:val="00F46F0C"/>
    <w:rsid w:val="00F55BC8"/>
    <w:rsid w:val="00F55D27"/>
    <w:rsid w:val="00F56C5E"/>
    <w:rsid w:val="00F57182"/>
    <w:rsid w:val="00F6067B"/>
    <w:rsid w:val="00F61AFF"/>
    <w:rsid w:val="00F6364D"/>
    <w:rsid w:val="00F718F9"/>
    <w:rsid w:val="00F7767B"/>
    <w:rsid w:val="00F82FB1"/>
    <w:rsid w:val="00F856A1"/>
    <w:rsid w:val="00F85F1A"/>
    <w:rsid w:val="00F96C80"/>
    <w:rsid w:val="00FA0A3A"/>
    <w:rsid w:val="00FA7748"/>
    <w:rsid w:val="00FA79C7"/>
    <w:rsid w:val="00FB2760"/>
    <w:rsid w:val="00FB5643"/>
    <w:rsid w:val="00FC2294"/>
    <w:rsid w:val="00FC3142"/>
    <w:rsid w:val="00FC31DE"/>
    <w:rsid w:val="00FC4679"/>
    <w:rsid w:val="00FD082B"/>
    <w:rsid w:val="00FD2C72"/>
    <w:rsid w:val="00FD3BBA"/>
    <w:rsid w:val="00FE12B5"/>
    <w:rsid w:val="00FE1C9A"/>
    <w:rsid w:val="00FF1046"/>
    <w:rsid w:val="00FF240A"/>
    <w:rsid w:val="00FF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F558"/>
  <w15:chartTrackingRefBased/>
  <w15:docId w15:val="{6ED4F472-3401-468D-9BAE-0D88DD5C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71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6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5EF"/>
  </w:style>
  <w:style w:type="paragraph" w:styleId="Stopka">
    <w:name w:val="footer"/>
    <w:basedOn w:val="Normalny"/>
    <w:link w:val="StopkaZnak"/>
    <w:uiPriority w:val="99"/>
    <w:unhideWhenUsed/>
    <w:rsid w:val="00956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5EF"/>
  </w:style>
  <w:style w:type="paragraph" w:styleId="Tekstdymka">
    <w:name w:val="Balloon Text"/>
    <w:basedOn w:val="Normalny"/>
    <w:link w:val="TekstdymkaZnak"/>
    <w:uiPriority w:val="99"/>
    <w:semiHidden/>
    <w:unhideWhenUsed/>
    <w:rsid w:val="009565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5EF"/>
    <w:rPr>
      <w:rFonts w:ascii="Tahoma" w:hAnsi="Tahoma" w:cs="Tahoma"/>
      <w:sz w:val="16"/>
      <w:szCs w:val="16"/>
    </w:rPr>
  </w:style>
  <w:style w:type="paragraph" w:customStyle="1" w:styleId="NoParagraphStyle">
    <w:name w:val="[No Paragraph Style]"/>
    <w:rsid w:val="009565E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ParagraphStyle1">
    <w:name w:val="Paragraph Style 1"/>
    <w:basedOn w:val="NoParagraphStyle"/>
    <w:uiPriority w:val="99"/>
    <w:rsid w:val="009565EF"/>
    <w:pPr>
      <w:spacing w:line="200" w:lineRule="atLeast"/>
    </w:pPr>
    <w:rPr>
      <w:rFonts w:ascii="Trajan Pro" w:hAnsi="Trajan Pro" w:cs="Trajan Pro"/>
      <w:color w:val="002B00"/>
      <w:sz w:val="14"/>
      <w:szCs w:val="14"/>
    </w:rPr>
  </w:style>
  <w:style w:type="paragraph" w:customStyle="1" w:styleId="BasicParagraph">
    <w:name w:val="[Basic Paragraph]"/>
    <w:basedOn w:val="NoParagraphStyle"/>
    <w:uiPriority w:val="99"/>
    <w:rsid w:val="009565EF"/>
  </w:style>
  <w:style w:type="paragraph" w:styleId="NormalnyWeb">
    <w:name w:val="Normal (Web)"/>
    <w:basedOn w:val="Normalny"/>
    <w:uiPriority w:val="99"/>
    <w:semiHidden/>
    <w:unhideWhenUsed/>
    <w:rsid w:val="00221275"/>
    <w:pPr>
      <w:spacing w:before="100" w:beforeAutospacing="1" w:after="100" w:afterAutospacing="1" w:line="240" w:lineRule="auto"/>
    </w:pPr>
    <w:rPr>
      <w:rFonts w:eastAsiaTheme="minorHAnsi" w:cs="Calibri"/>
      <w:lang w:eastAsia="pl-PL"/>
    </w:rPr>
  </w:style>
  <w:style w:type="paragraph" w:styleId="Tekstprzypisukocowego">
    <w:name w:val="endnote text"/>
    <w:basedOn w:val="Normalny"/>
    <w:link w:val="TekstprzypisukocowegoZnak"/>
    <w:uiPriority w:val="99"/>
    <w:semiHidden/>
    <w:unhideWhenUsed/>
    <w:rsid w:val="00375C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5CED"/>
    <w:rPr>
      <w:lang w:eastAsia="en-US"/>
    </w:rPr>
  </w:style>
  <w:style w:type="character" w:styleId="Odwoanieprzypisukocowego">
    <w:name w:val="endnote reference"/>
    <w:basedOn w:val="Domylnaczcionkaakapitu"/>
    <w:uiPriority w:val="99"/>
    <w:semiHidden/>
    <w:unhideWhenUsed/>
    <w:rsid w:val="00375CED"/>
    <w:rPr>
      <w:vertAlign w:val="superscript"/>
    </w:rPr>
  </w:style>
  <w:style w:type="paragraph" w:styleId="Akapitzlist">
    <w:name w:val="List Paragraph"/>
    <w:basedOn w:val="Normalny"/>
    <w:qFormat/>
    <w:rsid w:val="00150A3A"/>
    <w:pPr>
      <w:ind w:left="720"/>
      <w:contextualSpacing/>
    </w:pPr>
  </w:style>
  <w:style w:type="character" w:styleId="Odwoaniedokomentarza">
    <w:name w:val="annotation reference"/>
    <w:basedOn w:val="Domylnaczcionkaakapitu"/>
    <w:uiPriority w:val="99"/>
    <w:semiHidden/>
    <w:unhideWhenUsed/>
    <w:rsid w:val="003D561F"/>
    <w:rPr>
      <w:sz w:val="16"/>
      <w:szCs w:val="16"/>
    </w:rPr>
  </w:style>
  <w:style w:type="paragraph" w:styleId="Tekstkomentarza">
    <w:name w:val="annotation text"/>
    <w:basedOn w:val="Normalny"/>
    <w:link w:val="TekstkomentarzaZnak"/>
    <w:uiPriority w:val="99"/>
    <w:semiHidden/>
    <w:unhideWhenUsed/>
    <w:rsid w:val="003D56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61F"/>
    <w:rPr>
      <w:lang w:eastAsia="en-US"/>
    </w:rPr>
  </w:style>
  <w:style w:type="paragraph" w:styleId="Tematkomentarza">
    <w:name w:val="annotation subject"/>
    <w:basedOn w:val="Tekstkomentarza"/>
    <w:next w:val="Tekstkomentarza"/>
    <w:link w:val="TematkomentarzaZnak"/>
    <w:uiPriority w:val="99"/>
    <w:semiHidden/>
    <w:unhideWhenUsed/>
    <w:rsid w:val="003D561F"/>
    <w:rPr>
      <w:b/>
      <w:bCs/>
    </w:rPr>
  </w:style>
  <w:style w:type="character" w:customStyle="1" w:styleId="TematkomentarzaZnak">
    <w:name w:val="Temat komentarza Znak"/>
    <w:basedOn w:val="TekstkomentarzaZnak"/>
    <w:link w:val="Tematkomentarza"/>
    <w:uiPriority w:val="99"/>
    <w:semiHidden/>
    <w:rsid w:val="003D561F"/>
    <w:rPr>
      <w:b/>
      <w:bCs/>
      <w:lang w:eastAsia="en-US"/>
    </w:rPr>
  </w:style>
  <w:style w:type="paragraph" w:customStyle="1" w:styleId="Bezodstpw1">
    <w:name w:val="Bez odstępów1"/>
    <w:uiPriority w:val="1"/>
    <w:qFormat/>
    <w:rsid w:val="003953B3"/>
    <w:rPr>
      <w:rFonts w:eastAsia="MS Mincho"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4847">
      <w:bodyDiv w:val="1"/>
      <w:marLeft w:val="0"/>
      <w:marRight w:val="0"/>
      <w:marTop w:val="0"/>
      <w:marBottom w:val="0"/>
      <w:divBdr>
        <w:top w:val="none" w:sz="0" w:space="0" w:color="auto"/>
        <w:left w:val="none" w:sz="0" w:space="0" w:color="auto"/>
        <w:bottom w:val="none" w:sz="0" w:space="0" w:color="auto"/>
        <w:right w:val="none" w:sz="0" w:space="0" w:color="auto"/>
      </w:divBdr>
    </w:div>
    <w:div w:id="317345373">
      <w:bodyDiv w:val="1"/>
      <w:marLeft w:val="0"/>
      <w:marRight w:val="0"/>
      <w:marTop w:val="0"/>
      <w:marBottom w:val="0"/>
      <w:divBdr>
        <w:top w:val="none" w:sz="0" w:space="0" w:color="auto"/>
        <w:left w:val="none" w:sz="0" w:space="0" w:color="auto"/>
        <w:bottom w:val="none" w:sz="0" w:space="0" w:color="auto"/>
        <w:right w:val="none" w:sz="0" w:space="0" w:color="auto"/>
      </w:divBdr>
    </w:div>
    <w:div w:id="660617977">
      <w:bodyDiv w:val="1"/>
      <w:marLeft w:val="0"/>
      <w:marRight w:val="0"/>
      <w:marTop w:val="0"/>
      <w:marBottom w:val="0"/>
      <w:divBdr>
        <w:top w:val="none" w:sz="0" w:space="0" w:color="auto"/>
        <w:left w:val="none" w:sz="0" w:space="0" w:color="auto"/>
        <w:bottom w:val="none" w:sz="0" w:space="0" w:color="auto"/>
        <w:right w:val="none" w:sz="0" w:space="0" w:color="auto"/>
      </w:divBdr>
      <w:divsChild>
        <w:div w:id="587084525">
          <w:marLeft w:val="0"/>
          <w:marRight w:val="0"/>
          <w:marTop w:val="240"/>
          <w:marBottom w:val="0"/>
          <w:divBdr>
            <w:top w:val="none" w:sz="0" w:space="0" w:color="auto"/>
            <w:left w:val="none" w:sz="0" w:space="0" w:color="auto"/>
            <w:bottom w:val="none" w:sz="0" w:space="0" w:color="auto"/>
            <w:right w:val="none" w:sz="0" w:space="0" w:color="auto"/>
          </w:divBdr>
        </w:div>
        <w:div w:id="9913692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813C-3525-4B50-9CF2-31697B52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4950</Words>
  <Characters>29702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Dąbrowska</dc:creator>
  <cp:keywords/>
  <dc:description/>
  <cp:lastModifiedBy>Edyta Szargan</cp:lastModifiedBy>
  <cp:revision>4</cp:revision>
  <cp:lastPrinted>2019-01-07T08:29:00Z</cp:lastPrinted>
  <dcterms:created xsi:type="dcterms:W3CDTF">2019-01-05T22:01:00Z</dcterms:created>
  <dcterms:modified xsi:type="dcterms:W3CDTF">2019-01-07T08:30:00Z</dcterms:modified>
</cp:coreProperties>
</file>