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6" w:type="dxa"/>
        <w:tblInd w:w="-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584"/>
        <w:gridCol w:w="1629"/>
        <w:gridCol w:w="1274"/>
        <w:gridCol w:w="3604"/>
      </w:tblGrid>
      <w:tr w:rsidR="00E732F5" w:rsidRPr="00E732F5" w:rsidTr="00E732F5">
        <w:trPr>
          <w:trHeight w:val="318"/>
        </w:trPr>
        <w:tc>
          <w:tcPr>
            <w:tcW w:w="11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bookmarkStart w:id="0" w:name="_GoBack"/>
            <w:bookmarkEnd w:id="0"/>
            <w:r w:rsidRPr="00E7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pl-PL"/>
              </w:rPr>
              <w:t>Data i godzina</w:t>
            </w:r>
          </w:p>
        </w:tc>
        <w:tc>
          <w:tcPr>
            <w:tcW w:w="158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pl-PL"/>
              </w:rPr>
              <w:t>Organizator</w:t>
            </w:r>
          </w:p>
        </w:tc>
        <w:tc>
          <w:tcPr>
            <w:tcW w:w="162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pl-PL"/>
              </w:rPr>
              <w:t>Nazwa wydarzenia</w:t>
            </w:r>
          </w:p>
        </w:tc>
        <w:tc>
          <w:tcPr>
            <w:tcW w:w="12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pl-PL"/>
              </w:rPr>
              <w:t>miejsce</w:t>
            </w:r>
          </w:p>
        </w:tc>
        <w:tc>
          <w:tcPr>
            <w:tcW w:w="360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pl-PL"/>
              </w:rPr>
              <w:t>Informacje dodatkowe</w:t>
            </w:r>
          </w:p>
        </w:tc>
      </w:tr>
      <w:tr w:rsidR="00E732F5" w:rsidRPr="00E732F5" w:rsidTr="00E732F5">
        <w:trPr>
          <w:trHeight w:val="1247"/>
        </w:trPr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pl-PL"/>
              </w:rPr>
              <w:t>12 grudnia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(środa)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pl-PL"/>
              </w:rPr>
              <w:t>17:30-19:30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pl-PL"/>
              </w:rPr>
              <w:t>Sekcja Prawa Lotniczego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pl-PL"/>
              </w:rPr>
              <w:t> 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pl-PL"/>
              </w:rPr>
              <w:t>adw. adw. Joanna Tkaczyk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pl-PL"/>
              </w:rPr>
              <w:t>adw. Anita Trojanowska-Suchecka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48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16"/>
                <w:szCs w:val="24"/>
                <w:lang w:eastAsia="pl-PL"/>
              </w:rPr>
              <w:t>Praktyczne aspekty rejestracji przedsiębiorstwa lotniczego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48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24"/>
                <w:lang w:eastAsia="pl-PL"/>
              </w:rPr>
              <w:t>prelegent: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48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24"/>
                <w:lang w:eastAsia="pl-PL"/>
              </w:rPr>
              <w:t xml:space="preserve">Cezariusz </w:t>
            </w:r>
            <w:proofErr w:type="spellStart"/>
            <w:r w:rsidRPr="00E732F5"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24"/>
                <w:lang w:eastAsia="pl-PL"/>
              </w:rPr>
              <w:t>Weyna</w:t>
            </w:r>
            <w:proofErr w:type="spellEnd"/>
            <w:r w:rsidRPr="00E732F5"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24"/>
                <w:lang w:eastAsia="pl-PL"/>
              </w:rPr>
              <w:t>,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48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24"/>
                <w:lang w:eastAsia="pl-PL"/>
              </w:rPr>
              <w:t>Small Planet Airlines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 xml:space="preserve">sala konferencyjna adw. Joanny </w:t>
            </w:r>
            <w:proofErr w:type="spellStart"/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Agackiej-Indeckiej</w:t>
            </w:r>
            <w:proofErr w:type="spellEnd"/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, NRA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 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pl-PL"/>
              </w:rPr>
              <w:t>2 pkt DZ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zapisy do sekcji/rejestracja: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hyperlink r:id="rId5" w:tgtFrame="_blank" w:history="1">
              <w:r w:rsidRPr="00E732F5">
                <w:rPr>
                  <w:rFonts w:ascii="Times New Roman" w:eastAsia="Times New Roman" w:hAnsi="Times New Roman" w:cs="Times New Roman"/>
                  <w:color w:val="800080"/>
                  <w:sz w:val="16"/>
                  <w:szCs w:val="24"/>
                  <w:u w:val="single"/>
                  <w:lang w:eastAsia="pl-PL"/>
                </w:rPr>
                <w:t>sekcje@ora-warszawa.com.pl</w:t>
              </w:r>
            </w:hyperlink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 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hyperlink r:id="rId6" w:tgtFrame="_blank" w:history="1">
              <w:r w:rsidRPr="00E732F5">
                <w:rPr>
                  <w:rFonts w:ascii="Times New Roman" w:eastAsia="Times New Roman" w:hAnsi="Times New Roman" w:cs="Times New Roman"/>
                  <w:color w:val="800080"/>
                  <w:sz w:val="16"/>
                  <w:szCs w:val="24"/>
                  <w:u w:val="single"/>
                  <w:lang w:eastAsia="pl-PL"/>
                </w:rPr>
                <w:t>https://www.facebook.com/events/2250924405144233/</w:t>
              </w:r>
            </w:hyperlink>
          </w:p>
        </w:tc>
      </w:tr>
      <w:tr w:rsidR="00E732F5" w:rsidRPr="00E732F5" w:rsidTr="00E732F5">
        <w:trPr>
          <w:trHeight w:val="2540"/>
        </w:trPr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pl-PL"/>
              </w:rPr>
              <w:t>13 grudnia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(czwartek)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pl-PL"/>
              </w:rPr>
              <w:t>16:00-18:00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pl-PL"/>
              </w:rPr>
              <w:t>Sekcja Prawa Administracyjnego i Sądowo-Administracyjnego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pl-PL"/>
              </w:rPr>
              <w:t>adw. Joanna Tkaczyk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pl-PL"/>
              </w:rPr>
              <w:t xml:space="preserve">adw. dr Karol </w:t>
            </w:r>
            <w:proofErr w:type="spellStart"/>
            <w:r w:rsidRPr="00E7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pl-PL"/>
              </w:rPr>
              <w:t>Pachnik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48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16"/>
                <w:szCs w:val="24"/>
                <w:lang w:eastAsia="pl-PL"/>
              </w:rPr>
              <w:t> 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48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16"/>
                <w:szCs w:val="24"/>
                <w:lang w:eastAsia="pl-PL"/>
              </w:rPr>
              <w:t>Postępowanie przed SKO </w:t>
            </w:r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16"/>
                <w:szCs w:val="24"/>
                <w:lang w:eastAsia="pl-PL"/>
              </w:rPr>
              <w:br/>
              <w:t>i skarga na decyzję SKO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48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24"/>
                <w:lang w:eastAsia="pl-PL"/>
              </w:rPr>
              <w:t>prelegent: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48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24"/>
                <w:lang w:eastAsia="pl-PL"/>
              </w:rPr>
              <w:t>adw. Joanna Judkowiak,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48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24"/>
                <w:lang w:eastAsia="pl-PL"/>
              </w:rPr>
              <w:t>członek SKO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 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 xml:space="preserve">sala konferencyjna adw. Joanny </w:t>
            </w:r>
            <w:proofErr w:type="spellStart"/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Agackiej-Indeckiej</w:t>
            </w:r>
            <w:proofErr w:type="spellEnd"/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, NRA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pl-PL"/>
              </w:rPr>
              <w:t>2 pkt DZ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zapisy do sekcji/rejestracja: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hyperlink r:id="rId7" w:tgtFrame="_blank" w:history="1">
              <w:r w:rsidRPr="00E732F5">
                <w:rPr>
                  <w:rFonts w:ascii="Times New Roman" w:eastAsia="Times New Roman" w:hAnsi="Times New Roman" w:cs="Times New Roman"/>
                  <w:color w:val="800080"/>
                  <w:sz w:val="16"/>
                  <w:szCs w:val="24"/>
                  <w:u w:val="single"/>
                  <w:lang w:eastAsia="pl-PL"/>
                </w:rPr>
                <w:t>sekcja.pasa@ora-warszawa.com.pl</w:t>
              </w:r>
            </w:hyperlink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 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hyperlink r:id="rId8" w:tgtFrame="_blank" w:history="1">
              <w:r w:rsidRPr="00E732F5">
                <w:rPr>
                  <w:rFonts w:ascii="Times New Roman" w:eastAsia="Times New Roman" w:hAnsi="Times New Roman" w:cs="Times New Roman"/>
                  <w:color w:val="800080"/>
                  <w:sz w:val="16"/>
                  <w:szCs w:val="24"/>
                  <w:u w:val="single"/>
                  <w:lang w:eastAsia="pl-PL"/>
                </w:rPr>
                <w:t>https://www.facebook.com/events/302822140340547/</w:t>
              </w:r>
            </w:hyperlink>
          </w:p>
        </w:tc>
      </w:tr>
      <w:tr w:rsidR="00E732F5" w:rsidRPr="00E732F5" w:rsidTr="00E732F5">
        <w:trPr>
          <w:trHeight w:val="1247"/>
        </w:trPr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pl-PL"/>
              </w:rPr>
              <w:t>14 grudnia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(piątek)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pl-PL"/>
              </w:rPr>
              <w:t>17:00-20:00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pl-PL"/>
              </w:rPr>
              <w:t>Sekcja Prawa Administracyjnego i Sądowo-Administracyjnego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pl-PL"/>
              </w:rPr>
              <w:t>adw. Joanna Tkaczyk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pl-PL"/>
              </w:rPr>
              <w:t xml:space="preserve">adw. dr Karol </w:t>
            </w:r>
            <w:proofErr w:type="spellStart"/>
            <w:r w:rsidRPr="00E7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pl-PL"/>
              </w:rPr>
              <w:t>Pachnik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48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16"/>
                <w:szCs w:val="24"/>
                <w:lang w:eastAsia="pl-PL"/>
              </w:rPr>
              <w:t>Nowelizacja przepisów postępowania administracyjnego </w:t>
            </w:r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16"/>
                <w:szCs w:val="24"/>
                <w:lang w:eastAsia="pl-PL"/>
              </w:rPr>
              <w:br/>
              <w:t>w praktyce</w:t>
            </w:r>
            <w:r w:rsidRPr="00E732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16"/>
                <w:szCs w:val="24"/>
                <w:lang w:eastAsia="pl-PL"/>
              </w:rPr>
              <w:t> 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48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24"/>
                <w:lang w:eastAsia="pl-PL"/>
              </w:rPr>
              <w:t>prelegenci: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48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24"/>
                <w:lang w:eastAsia="pl-PL"/>
              </w:rPr>
              <w:t xml:space="preserve">adw. prof. ALK dr </w:t>
            </w:r>
            <w:proofErr w:type="spellStart"/>
            <w:r w:rsidRPr="00E732F5"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24"/>
                <w:lang w:eastAsia="pl-PL"/>
              </w:rPr>
              <w:t>hab.Aleksander</w:t>
            </w:r>
            <w:proofErr w:type="spellEnd"/>
            <w:r w:rsidRPr="00E732F5"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24"/>
                <w:lang w:eastAsia="pl-PL"/>
              </w:rPr>
              <w:t xml:space="preserve"> Maziarz, dr Jan Chmielewski (Biuro Orzecznictwa NSA), dr Paweł Dąbrowski (Przewodniczący Rady ds. Uchodźców), adw. Andrzej Bieńkowski, adw. dr Karol </w:t>
            </w:r>
            <w:proofErr w:type="spellStart"/>
            <w:r w:rsidRPr="00E732F5"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24"/>
                <w:lang w:eastAsia="pl-PL"/>
              </w:rPr>
              <w:t>Pachnik</w:t>
            </w:r>
            <w:proofErr w:type="spellEnd"/>
            <w:r w:rsidRPr="00E732F5">
              <w:rPr>
                <w:rFonts w:ascii="Times New Roman" w:eastAsia="Times New Roman" w:hAnsi="Times New Roman" w:cs="Times New Roman"/>
                <w:color w:val="000000"/>
                <w:kern w:val="36"/>
                <w:sz w:val="16"/>
                <w:szCs w:val="24"/>
                <w:lang w:eastAsia="pl-PL"/>
              </w:rPr>
              <w:t xml:space="preserve"> (Sekcja PASA) oraz sędzia Sylwester Marciniak (NSA)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Akademia Leona Koźmińskiego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 ul. Jagiellońska 57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pl-PL"/>
              </w:rPr>
              <w:t>4 pkt DZ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zapisy do sekcji/rejestracja: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hyperlink r:id="rId9" w:tgtFrame="_blank" w:history="1">
              <w:r w:rsidRPr="00E732F5">
                <w:rPr>
                  <w:rFonts w:ascii="Times New Roman" w:eastAsia="Times New Roman" w:hAnsi="Times New Roman" w:cs="Times New Roman"/>
                  <w:color w:val="800080"/>
                  <w:sz w:val="16"/>
                  <w:szCs w:val="24"/>
                  <w:u w:val="single"/>
                  <w:lang w:eastAsia="pl-PL"/>
                </w:rPr>
                <w:t>sekcja.pasa@ora-warszawa.com.pl</w:t>
              </w:r>
            </w:hyperlink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 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hyperlink r:id="rId10" w:tgtFrame="_blank" w:history="1">
              <w:r w:rsidRPr="00E732F5">
                <w:rPr>
                  <w:rFonts w:ascii="Times New Roman" w:eastAsia="Times New Roman" w:hAnsi="Times New Roman" w:cs="Times New Roman"/>
                  <w:color w:val="800080"/>
                  <w:sz w:val="16"/>
                  <w:szCs w:val="24"/>
                  <w:u w:val="single"/>
                  <w:lang w:eastAsia="pl-PL"/>
                </w:rPr>
                <w:t>https://www.facebook.com/events/254814465215322/</w:t>
              </w:r>
            </w:hyperlink>
          </w:p>
        </w:tc>
      </w:tr>
      <w:tr w:rsidR="00E732F5" w:rsidRPr="00E732F5" w:rsidTr="00E732F5">
        <w:trPr>
          <w:trHeight w:val="3020"/>
        </w:trPr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pl-PL"/>
              </w:rPr>
              <w:t>19 listopada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(poniedziałek)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pl-PL"/>
              </w:rPr>
              <w:t>17:00-19:00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pl-PL"/>
              </w:rPr>
              <w:t>Sekcja Prawa Gospodarczego </w:t>
            </w:r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pl-PL"/>
              </w:rPr>
              <w:br/>
              <w:t>i Handlowego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pl-PL"/>
              </w:rPr>
              <w:t xml:space="preserve">Katedra Prawa Handlowego </w:t>
            </w:r>
            <w:proofErr w:type="spellStart"/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pl-PL"/>
              </w:rPr>
              <w:t>WPiA</w:t>
            </w:r>
            <w:proofErr w:type="spellEnd"/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pl-PL"/>
              </w:rPr>
              <w:t xml:space="preserve"> Uniwersytetu Warszawskiego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pl-PL"/>
              </w:rPr>
              <w:t> 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pl-PL"/>
              </w:rPr>
              <w:t>adw. dr Kamil Szmid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pl-PL"/>
              </w:rPr>
              <w:t xml:space="preserve">prof. dr. </w:t>
            </w:r>
            <w:proofErr w:type="spellStart"/>
            <w:r w:rsidRPr="00E7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pl-PL"/>
              </w:rPr>
              <w:t>hab</w:t>
            </w:r>
            <w:proofErr w:type="spellEnd"/>
            <w:r w:rsidRPr="00E7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24"/>
                <w:lang w:eastAsia="pl-PL"/>
              </w:rPr>
              <w:t xml:space="preserve"> Katarzyna Bilewska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proofErr w:type="spellStart"/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pl-PL"/>
              </w:rPr>
              <w:t>Saving</w:t>
            </w:r>
            <w:proofErr w:type="spellEnd"/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pl-PL"/>
              </w:rPr>
              <w:t xml:space="preserve"> </w:t>
            </w:r>
            <w:proofErr w:type="spellStart"/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pl-PL"/>
              </w:rPr>
              <w:t>Corporate</w:t>
            </w:r>
            <w:proofErr w:type="spellEnd"/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pl-PL"/>
              </w:rPr>
              <w:t xml:space="preserve"> </w:t>
            </w:r>
            <w:proofErr w:type="spellStart"/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pl-PL"/>
              </w:rPr>
              <w:t>Governance</w:t>
            </w:r>
            <w:proofErr w:type="spellEnd"/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pl-PL"/>
              </w:rPr>
              <w:t xml:space="preserve"> from the Financial </w:t>
            </w:r>
            <w:proofErr w:type="spellStart"/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pl-PL"/>
              </w:rPr>
              <w:t>Markets</w:t>
            </w:r>
            <w:proofErr w:type="spellEnd"/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prelegent: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prof. David C. Donald</w:t>
            </w: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br/>
              <w:t>(</w:t>
            </w:r>
            <w:proofErr w:type="spellStart"/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Faculty</w:t>
            </w:r>
            <w:proofErr w:type="spellEnd"/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 xml:space="preserve"> of Law, The </w:t>
            </w:r>
            <w:proofErr w:type="spellStart"/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Chinese</w:t>
            </w:r>
            <w:proofErr w:type="spellEnd"/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 xml:space="preserve"> University of Hong Kong ),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48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6"/>
                <w:sz w:val="16"/>
                <w:szCs w:val="24"/>
                <w:lang w:eastAsia="pl-PL"/>
              </w:rPr>
              <w:t>Otwarte Posiedzenie Naukowe Katedry Prawa Handlowego Wydziału Prawa i Administracji Uniwersytetu Warszawskiego</w:t>
            </w:r>
          </w:p>
          <w:p w:rsidR="00E732F5" w:rsidRPr="00E732F5" w:rsidRDefault="00E732F5" w:rsidP="00E732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48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16"/>
                <w:szCs w:val="24"/>
                <w:lang w:eastAsia="pl-P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 xml:space="preserve">Collegium </w:t>
            </w:r>
            <w:proofErr w:type="spellStart"/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>Iuridicum</w:t>
            </w:r>
            <w:proofErr w:type="spellEnd"/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t xml:space="preserve"> II, sala 3.3,</w:t>
            </w: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br/>
              <w:t>Wydział Prawa i Administracji Uniwersytetu Warszawskiego</w:t>
            </w:r>
            <w:r w:rsidRPr="00E732F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  <w:br/>
              <w:t>ul. Lipowa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32F5" w:rsidRPr="00E732F5" w:rsidRDefault="00E732F5" w:rsidP="00E7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pl-PL"/>
              </w:rPr>
            </w:pPr>
          </w:p>
        </w:tc>
      </w:tr>
    </w:tbl>
    <w:p w:rsidR="00F62482" w:rsidRPr="00E732F5" w:rsidRDefault="00F62482">
      <w:pPr>
        <w:rPr>
          <w:sz w:val="14"/>
        </w:rPr>
      </w:pPr>
    </w:p>
    <w:sectPr w:rsidR="00F62482" w:rsidRPr="00E73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F5"/>
    <w:rsid w:val="00E732F5"/>
    <w:rsid w:val="00F6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32F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ox-8aaea1ce5f-standard">
    <w:name w:val="ox-8aaea1ce5f-standard"/>
    <w:basedOn w:val="Normalny"/>
    <w:rsid w:val="00E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x-8aaea1ce5f-4n-j3chtfsl">
    <w:name w:val="ox-8aaea1ce5f-4n-j3chtfsl"/>
    <w:basedOn w:val="Domylnaczcionkaakapitu"/>
    <w:rsid w:val="00E732F5"/>
  </w:style>
  <w:style w:type="paragraph" w:customStyle="1" w:styleId="ox-8aaea1ce5f-msonormal">
    <w:name w:val="ox-8aaea1ce5f-msonormal"/>
    <w:basedOn w:val="Normalny"/>
    <w:rsid w:val="00E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32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32F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ox-8aaea1ce5f-standard">
    <w:name w:val="ox-8aaea1ce5f-standard"/>
    <w:basedOn w:val="Normalny"/>
    <w:rsid w:val="00E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x-8aaea1ce5f-4n-j3chtfsl">
    <w:name w:val="ox-8aaea1ce5f-4n-j3chtfsl"/>
    <w:basedOn w:val="Domylnaczcionkaakapitu"/>
    <w:rsid w:val="00E732F5"/>
  </w:style>
  <w:style w:type="paragraph" w:customStyle="1" w:styleId="ox-8aaea1ce5f-msonormal">
    <w:name w:val="ox-8aaea1ce5f-msonormal"/>
    <w:basedOn w:val="Normalny"/>
    <w:rsid w:val="00E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3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30282214034054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czta.home.pl/appsuite/sekcja.pwp@ora-warszawa.com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225092440514423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czta.home.pl/appsuite/sekcja.pwp@ora-warszawa.com.pl" TargetMode="External"/><Relationship Id="rId10" Type="http://schemas.openxmlformats.org/officeDocument/2006/relationships/hyperlink" Target="https://www.facebook.com/events/2548144652153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czta.home.pl/appsuite/sekcja.pwp@ora-warszaw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Rzepecki</dc:creator>
  <cp:lastModifiedBy>Aleksander Rzepecki</cp:lastModifiedBy>
  <cp:revision>1</cp:revision>
  <dcterms:created xsi:type="dcterms:W3CDTF">2018-12-12T15:07:00Z</dcterms:created>
  <dcterms:modified xsi:type="dcterms:W3CDTF">2018-12-12T15:07:00Z</dcterms:modified>
</cp:coreProperties>
</file>